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79F" w:rsidRDefault="0079654B">
      <w:pPr>
        <w:pStyle w:val="BodyA"/>
      </w:pPr>
      <w:r>
        <w:rPr>
          <w:rFonts w:ascii="Arial" w:eastAsia="Arial" w:hAnsi="Arial" w:cs="Arial"/>
          <w:noProof/>
        </w:rPr>
        <w:drawing>
          <wp:anchor distT="57150" distB="57150" distL="57150" distR="57150" simplePos="0" relativeHeight="251660288" behindDoc="0" locked="0" layoutInCell="1" allowOverlap="1">
            <wp:simplePos x="0" y="0"/>
            <wp:positionH relativeFrom="column">
              <wp:posOffset>0</wp:posOffset>
            </wp:positionH>
            <wp:positionV relativeFrom="line">
              <wp:posOffset>149859</wp:posOffset>
            </wp:positionV>
            <wp:extent cx="5553075" cy="1438275"/>
            <wp:effectExtent l="0" t="0" r="0" b="0"/>
            <wp:wrapTopAndBottom distT="57150" distB="57150"/>
            <wp:docPr id="1073741825" name="officeArt object" descr="logo cti copy.jpg"/>
            <wp:cNvGraphicFramePr/>
            <a:graphic xmlns:a="http://schemas.openxmlformats.org/drawingml/2006/main">
              <a:graphicData uri="http://schemas.openxmlformats.org/drawingml/2006/picture">
                <pic:pic xmlns:pic="http://schemas.openxmlformats.org/drawingml/2006/picture">
                  <pic:nvPicPr>
                    <pic:cNvPr id="1073741825" name="logo cti copy.jpg" descr="logo cti copy.jpg"/>
                    <pic:cNvPicPr>
                      <a:picLocks noChangeAspect="1"/>
                    </pic:cNvPicPr>
                  </pic:nvPicPr>
                  <pic:blipFill>
                    <a:blip r:embed="rId8">
                      <a:extLst/>
                    </a:blip>
                    <a:stretch>
                      <a:fillRect/>
                    </a:stretch>
                  </pic:blipFill>
                  <pic:spPr>
                    <a:xfrm>
                      <a:off x="0" y="0"/>
                      <a:ext cx="5553075" cy="1438275"/>
                    </a:xfrm>
                    <a:prstGeom prst="rect">
                      <a:avLst/>
                    </a:prstGeom>
                    <a:ln w="12700" cap="flat">
                      <a:noFill/>
                      <a:miter lim="400000"/>
                    </a:ln>
                    <a:effectLst/>
                  </pic:spPr>
                </pic:pic>
              </a:graphicData>
            </a:graphic>
          </wp:anchor>
        </w:drawing>
      </w:r>
    </w:p>
    <w:p w:rsidR="006F379F" w:rsidRDefault="006F379F">
      <w:pPr>
        <w:pStyle w:val="BodyA"/>
      </w:pPr>
    </w:p>
    <w:p w:rsidR="006F379F" w:rsidRDefault="0079654B">
      <w:pPr>
        <w:pStyle w:val="BodyA"/>
      </w:pPr>
      <w:bookmarkStart w:id="0" w:name="_GoBack"/>
      <w:r>
        <w:rPr>
          <w:rFonts w:ascii="Arial" w:eastAsia="Arial" w:hAnsi="Arial" w:cs="Arial"/>
          <w:noProof/>
        </w:rPr>
        <mc:AlternateContent>
          <mc:Choice Requires="wpg">
            <w:drawing>
              <wp:anchor distT="57150" distB="57150" distL="57150" distR="57150" simplePos="0" relativeHeight="251659264" behindDoc="0" locked="0" layoutInCell="1" allowOverlap="1">
                <wp:simplePos x="0" y="0"/>
                <wp:positionH relativeFrom="page">
                  <wp:posOffset>768983</wp:posOffset>
                </wp:positionH>
                <wp:positionV relativeFrom="page">
                  <wp:posOffset>3317240</wp:posOffset>
                </wp:positionV>
                <wp:extent cx="6154431" cy="2722257"/>
                <wp:effectExtent l="0" t="0" r="0" b="0"/>
                <wp:wrapThrough wrapText="bothSides" distL="57150" distR="57150">
                  <wp:wrapPolygon edited="1">
                    <wp:start x="0" y="0"/>
                    <wp:lineTo x="21600" y="0"/>
                    <wp:lineTo x="21600" y="21600"/>
                    <wp:lineTo x="0" y="21600"/>
                    <wp:lineTo x="0" y="0"/>
                  </wp:wrapPolygon>
                </wp:wrapThrough>
                <wp:docPr id="1073741828" name="officeArt object" descr="officeArt object"/>
                <wp:cNvGraphicFramePr/>
                <a:graphic xmlns:a="http://schemas.openxmlformats.org/drawingml/2006/main">
                  <a:graphicData uri="http://schemas.microsoft.com/office/word/2010/wordprocessingGroup">
                    <wpg:wgp>
                      <wpg:cNvGrpSpPr/>
                      <wpg:grpSpPr>
                        <a:xfrm>
                          <a:off x="0" y="0"/>
                          <a:ext cx="6154431" cy="2722257"/>
                          <a:chOff x="-1" y="-1"/>
                          <a:chExt cx="6154430" cy="2722256"/>
                        </a:xfrm>
                      </wpg:grpSpPr>
                      <wps:wsp>
                        <wps:cNvPr id="1073741826" name="Shape 1073741827"/>
                        <wps:cNvSpPr/>
                        <wps:spPr>
                          <a:xfrm>
                            <a:off x="-2" y="-2"/>
                            <a:ext cx="6154432" cy="2722257"/>
                          </a:xfrm>
                          <a:prstGeom prst="rect">
                            <a:avLst/>
                          </a:prstGeom>
                          <a:noFill/>
                          <a:ln w="38100" cap="flat">
                            <a:solidFill>
                              <a:srgbClr val="000000"/>
                            </a:solidFill>
                            <a:prstDash val="solid"/>
                            <a:round/>
                          </a:ln>
                          <a:effectLst/>
                        </wps:spPr>
                        <wps:bodyPr/>
                      </wps:wsp>
                      <wps:wsp>
                        <wps:cNvPr id="1073741827" name="Shape 1073741828"/>
                        <wps:cNvSpPr txBox="1"/>
                        <wps:spPr>
                          <a:xfrm>
                            <a:off x="-2" y="-2"/>
                            <a:ext cx="6154432" cy="2722257"/>
                          </a:xfrm>
                          <a:prstGeom prst="rect">
                            <a:avLst/>
                          </a:prstGeom>
                          <a:noFill/>
                          <a:ln w="12700" cap="flat">
                            <a:noFill/>
                            <a:miter lim="400000"/>
                          </a:ln>
                          <a:effectLst/>
                        </wps:spPr>
                        <wps:txbx>
                          <w:txbxContent>
                            <w:p w:rsidR="006F379F" w:rsidRDefault="006F379F">
                              <w:pPr>
                                <w:pStyle w:val="BodyA"/>
                                <w:rPr>
                                  <w:rFonts w:ascii="Arial" w:eastAsia="Arial" w:hAnsi="Arial" w:cs="Arial"/>
                                  <w:b/>
                                  <w:bCs/>
                                  <w:sz w:val="40"/>
                                  <w:szCs w:val="40"/>
                                </w:rPr>
                              </w:pPr>
                            </w:p>
                            <w:p w:rsidR="006F379F" w:rsidRPr="00A52324" w:rsidRDefault="00A52324">
                              <w:pPr>
                                <w:pStyle w:val="BodyA"/>
                                <w:jc w:val="center"/>
                                <w:rPr>
                                  <w:rFonts w:ascii="Arial" w:eastAsia="Arial" w:hAnsi="Arial" w:cs="Arial"/>
                                  <w:b/>
                                  <w:bCs/>
                                  <w:sz w:val="32"/>
                                  <w:szCs w:val="32"/>
                                </w:rPr>
                              </w:pPr>
                              <w:r w:rsidRPr="00A52324">
                                <w:rPr>
                                  <w:rFonts w:ascii="Arial" w:hAnsi="Arial"/>
                                  <w:b/>
                                  <w:bCs/>
                                  <w:sz w:val="32"/>
                                  <w:szCs w:val="32"/>
                                </w:rPr>
                                <w:t xml:space="preserve">DRAFT </w:t>
                              </w:r>
                              <w:r w:rsidR="0079654B" w:rsidRPr="00A52324">
                                <w:rPr>
                                  <w:rFonts w:ascii="Arial" w:hAnsi="Arial"/>
                                  <w:b/>
                                  <w:bCs/>
                                  <w:sz w:val="32"/>
                                  <w:szCs w:val="32"/>
                                </w:rPr>
                                <w:t xml:space="preserve">Decision Document on </w:t>
                              </w:r>
                            </w:p>
                            <w:p w:rsidR="006F379F" w:rsidRDefault="006F379F">
                              <w:pPr>
                                <w:pStyle w:val="BodyA"/>
                                <w:jc w:val="center"/>
                                <w:rPr>
                                  <w:rFonts w:ascii="Arial" w:eastAsia="Arial" w:hAnsi="Arial" w:cs="Arial"/>
                                  <w:b/>
                                  <w:bCs/>
                                  <w:sz w:val="32"/>
                                  <w:szCs w:val="32"/>
                                </w:rPr>
                              </w:pPr>
                            </w:p>
                            <w:p w:rsidR="00A52324" w:rsidRDefault="00A52324">
                              <w:pPr>
                                <w:pStyle w:val="BodyA"/>
                                <w:jc w:val="center"/>
                                <w:rPr>
                                  <w:rFonts w:ascii="Arial" w:eastAsia="Arial" w:hAnsi="Arial" w:cs="Arial"/>
                                  <w:b/>
                                  <w:bCs/>
                                  <w:sz w:val="32"/>
                                  <w:szCs w:val="32"/>
                                </w:rPr>
                              </w:pPr>
                            </w:p>
                            <w:p w:rsidR="00A52324" w:rsidRDefault="00A52324">
                              <w:pPr>
                                <w:pStyle w:val="BodyA"/>
                                <w:jc w:val="center"/>
                                <w:rPr>
                                  <w:rFonts w:ascii="Arial" w:eastAsia="Arial" w:hAnsi="Arial" w:cs="Arial"/>
                                  <w:b/>
                                  <w:bCs/>
                                  <w:sz w:val="32"/>
                                  <w:szCs w:val="32"/>
                                </w:rPr>
                              </w:pPr>
                              <w:r>
                                <w:rPr>
                                  <w:rFonts w:ascii="Arial" w:eastAsia="Arial" w:hAnsi="Arial" w:cs="Arial"/>
                                  <w:b/>
                                  <w:bCs/>
                                  <w:sz w:val="32"/>
                                  <w:szCs w:val="32"/>
                                </w:rPr>
                                <w:t>Session 8</w:t>
                              </w:r>
                            </w:p>
                            <w:p w:rsidR="00A52324" w:rsidRPr="00A52324" w:rsidRDefault="00A52324">
                              <w:pPr>
                                <w:pStyle w:val="BodyA"/>
                                <w:jc w:val="center"/>
                                <w:rPr>
                                  <w:rFonts w:ascii="Arial" w:eastAsia="Arial" w:hAnsi="Arial" w:cs="Arial"/>
                                  <w:b/>
                                  <w:bCs/>
                                  <w:sz w:val="32"/>
                                  <w:szCs w:val="32"/>
                                </w:rPr>
                              </w:pPr>
                            </w:p>
                            <w:p w:rsidR="006F379F" w:rsidRPr="00A52324" w:rsidRDefault="0079654B">
                              <w:pPr>
                                <w:pStyle w:val="BodyA"/>
                                <w:jc w:val="center"/>
                                <w:rPr>
                                  <w:rFonts w:ascii="Arial" w:eastAsia="Arial" w:hAnsi="Arial" w:cs="Arial"/>
                                  <w:b/>
                                  <w:bCs/>
                                  <w:sz w:val="32"/>
                                  <w:szCs w:val="32"/>
                                </w:rPr>
                              </w:pPr>
                              <w:r w:rsidRPr="00A52324">
                                <w:rPr>
                                  <w:rFonts w:ascii="Arial" w:hAnsi="Arial"/>
                                  <w:b/>
                                  <w:bCs/>
                                  <w:sz w:val="32"/>
                                  <w:szCs w:val="32"/>
                                </w:rPr>
                                <w:t>Climate Change Adaptation Working Group</w:t>
                              </w:r>
                            </w:p>
                            <w:p w:rsidR="006F379F" w:rsidRPr="00A52324" w:rsidRDefault="0079654B">
                              <w:pPr>
                                <w:pStyle w:val="BodyA"/>
                                <w:jc w:val="center"/>
                                <w:rPr>
                                  <w:sz w:val="32"/>
                                  <w:szCs w:val="32"/>
                                </w:rPr>
                              </w:pPr>
                              <w:r w:rsidRPr="00A52324">
                                <w:rPr>
                                  <w:rFonts w:ascii="Arial" w:hAnsi="Arial"/>
                                  <w:b/>
                                  <w:bCs/>
                                  <w:sz w:val="32"/>
                                  <w:szCs w:val="32"/>
                                </w:rPr>
                                <w:t>___________________</w:t>
                              </w:r>
                            </w:p>
                          </w:txbxContent>
                        </wps:txbx>
                        <wps:bodyPr wrap="square" lIns="88900" tIns="88900" rIns="88900" bIns="88900" numCol="1" anchor="t">
                          <a:noAutofit/>
                        </wps:bodyPr>
                      </wps:wsp>
                    </wpg:wgp>
                  </a:graphicData>
                </a:graphic>
              </wp:anchor>
            </w:drawing>
          </mc:Choice>
          <mc:Fallback>
            <w:pict>
              <v:group id="officeArt object" o:spid="_x0000_s1026" alt="officeArt object" style="position:absolute;margin-left:60.55pt;margin-top:261.2pt;width:484.6pt;height:214.35pt;z-index:251659264;mso-wrap-distance-left:4.5pt;mso-wrap-distance-top:4.5pt;mso-wrap-distance-right:4.5pt;mso-wrap-distance-bottom:4.5pt;mso-position-horizontal-relative:page;mso-position-vertical-relative:page" coordorigin="" coordsize="61544,27222" wrapcoords="-2 0 21598 0 21598 21600 -2 21600 -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">
                <v:rect id="Shape 1073741827" o:spid="_x0000_s1027" style="position:absolute;width:61544;height:27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" filled="f" strokeweight="3pt">
                  <v:stroke joinstyle="round"/>
                </v:rect>
                <v:shapetype id="_x0000_t202" coordsize="21600,21600" o:spt="202" path="m,l,21600r21600,l21600,xe">
                  <v:stroke joinstyle="miter"/>
                  <v:path gradientshapeok="t" o:connecttype="rect"/>
                </v:shapetype>
                <v:shape id="Shape 1073741828" o:spid="_x0000_s1028" type="#_x0000_t202" style="position:absolute;width:61544;height:27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" filled="f" stroked="f" strokeweight="1pt">
                  <v:stroke miterlimit="4"/>
                  <v:textbox inset="7pt,7pt,7pt,7pt">
                    <w:txbxContent>
                      <w:p w:rsidR="006F379F" w:rsidRDefault="006F379F">
                        <w:pPr>
                          <w:pStyle w:val="BodyA"/>
                          <w:rPr>
                            <w:rFonts w:ascii="Arial" w:eastAsia="Arial" w:hAnsi="Arial" w:cs="Arial"/>
                            <w:b/>
                            <w:bCs/>
                            <w:sz w:val="40"/>
                            <w:szCs w:val="40"/>
                          </w:rPr>
                        </w:pPr>
                      </w:p>
                      <w:p w:rsidR="006F379F" w:rsidRPr="00A52324" w:rsidRDefault="00A52324">
                        <w:pPr>
                          <w:pStyle w:val="BodyA"/>
                          <w:jc w:val="center"/>
                          <w:rPr>
                            <w:rFonts w:ascii="Arial" w:eastAsia="Arial" w:hAnsi="Arial" w:cs="Arial"/>
                            <w:b/>
                            <w:bCs/>
                            <w:sz w:val="32"/>
                            <w:szCs w:val="32"/>
                          </w:rPr>
                        </w:pPr>
                        <w:r w:rsidRPr="00A52324">
                          <w:rPr>
                            <w:rFonts w:ascii="Arial" w:hAnsi="Arial"/>
                            <w:b/>
                            <w:bCs/>
                            <w:sz w:val="32"/>
                            <w:szCs w:val="32"/>
                          </w:rPr>
                          <w:t xml:space="preserve">DRAFT </w:t>
                        </w:r>
                        <w:r w:rsidR="0079654B" w:rsidRPr="00A52324">
                          <w:rPr>
                            <w:rFonts w:ascii="Arial" w:hAnsi="Arial"/>
                            <w:b/>
                            <w:bCs/>
                            <w:sz w:val="32"/>
                            <w:szCs w:val="32"/>
                          </w:rPr>
                          <w:t xml:space="preserve">Decision Document on </w:t>
                        </w:r>
                      </w:p>
                      <w:p w:rsidR="006F379F" w:rsidRDefault="006F379F">
                        <w:pPr>
                          <w:pStyle w:val="BodyA"/>
                          <w:jc w:val="center"/>
                          <w:rPr>
                            <w:rFonts w:ascii="Arial" w:eastAsia="Arial" w:hAnsi="Arial" w:cs="Arial"/>
                            <w:b/>
                            <w:bCs/>
                            <w:sz w:val="32"/>
                            <w:szCs w:val="32"/>
                          </w:rPr>
                        </w:pPr>
                      </w:p>
                      <w:p w:rsidR="00A52324" w:rsidRDefault="00A52324">
                        <w:pPr>
                          <w:pStyle w:val="BodyA"/>
                          <w:jc w:val="center"/>
                          <w:rPr>
                            <w:rFonts w:ascii="Arial" w:eastAsia="Arial" w:hAnsi="Arial" w:cs="Arial"/>
                            <w:b/>
                            <w:bCs/>
                            <w:sz w:val="32"/>
                            <w:szCs w:val="32"/>
                          </w:rPr>
                        </w:pPr>
                      </w:p>
                      <w:p w:rsidR="00A52324" w:rsidRDefault="00A52324">
                        <w:pPr>
                          <w:pStyle w:val="BodyA"/>
                          <w:jc w:val="center"/>
                          <w:rPr>
                            <w:rFonts w:ascii="Arial" w:eastAsia="Arial" w:hAnsi="Arial" w:cs="Arial"/>
                            <w:b/>
                            <w:bCs/>
                            <w:sz w:val="32"/>
                            <w:szCs w:val="32"/>
                          </w:rPr>
                        </w:pPr>
                        <w:r>
                          <w:rPr>
                            <w:rFonts w:ascii="Arial" w:eastAsia="Arial" w:hAnsi="Arial" w:cs="Arial"/>
                            <w:b/>
                            <w:bCs/>
                            <w:sz w:val="32"/>
                            <w:szCs w:val="32"/>
                          </w:rPr>
                          <w:t>Session 8</w:t>
                        </w:r>
                      </w:p>
                      <w:p w:rsidR="00A52324" w:rsidRPr="00A52324" w:rsidRDefault="00A52324">
                        <w:pPr>
                          <w:pStyle w:val="BodyA"/>
                          <w:jc w:val="center"/>
                          <w:rPr>
                            <w:rFonts w:ascii="Arial" w:eastAsia="Arial" w:hAnsi="Arial" w:cs="Arial"/>
                            <w:b/>
                            <w:bCs/>
                            <w:sz w:val="32"/>
                            <w:szCs w:val="32"/>
                          </w:rPr>
                        </w:pPr>
                      </w:p>
                      <w:p w:rsidR="006F379F" w:rsidRPr="00A52324" w:rsidRDefault="0079654B">
                        <w:pPr>
                          <w:pStyle w:val="BodyA"/>
                          <w:jc w:val="center"/>
                          <w:rPr>
                            <w:rFonts w:ascii="Arial" w:eastAsia="Arial" w:hAnsi="Arial" w:cs="Arial"/>
                            <w:b/>
                            <w:bCs/>
                            <w:sz w:val="32"/>
                            <w:szCs w:val="32"/>
                          </w:rPr>
                        </w:pPr>
                        <w:r w:rsidRPr="00A52324">
                          <w:rPr>
                            <w:rFonts w:ascii="Arial" w:hAnsi="Arial"/>
                            <w:b/>
                            <w:bCs/>
                            <w:sz w:val="32"/>
                            <w:szCs w:val="32"/>
                          </w:rPr>
                          <w:t>Climate Change Adaptation Working Group</w:t>
                        </w:r>
                      </w:p>
                      <w:p w:rsidR="006F379F" w:rsidRPr="00A52324" w:rsidRDefault="0079654B">
                        <w:pPr>
                          <w:pStyle w:val="BodyA"/>
                          <w:jc w:val="center"/>
                          <w:rPr>
                            <w:sz w:val="32"/>
                            <w:szCs w:val="32"/>
                          </w:rPr>
                        </w:pPr>
                        <w:r w:rsidRPr="00A52324">
                          <w:rPr>
                            <w:rFonts w:ascii="Arial" w:hAnsi="Arial"/>
                            <w:b/>
                            <w:bCs/>
                            <w:sz w:val="32"/>
                            <w:szCs w:val="32"/>
                          </w:rPr>
                          <w:t>___________________</w:t>
                        </w:r>
                      </w:p>
                    </w:txbxContent>
                  </v:textbox>
                </v:shape>
                <w10:wrap type="through" anchorx="page" anchory="page"/>
              </v:group>
            </w:pict>
          </mc:Fallback>
        </mc:AlternateContent>
      </w:r>
      <w:bookmarkEnd w:id="0"/>
    </w:p>
    <w:p w:rsidR="006F379F" w:rsidRDefault="006F379F">
      <w:pPr>
        <w:pStyle w:val="BodyA"/>
      </w:pPr>
    </w:p>
    <w:p w:rsidR="006F379F" w:rsidRDefault="006F379F">
      <w:pPr>
        <w:pStyle w:val="BodyA"/>
      </w:pPr>
    </w:p>
    <w:p w:rsidR="006F379F" w:rsidRDefault="006F379F">
      <w:pPr>
        <w:pStyle w:val="BodyA"/>
        <w:jc w:val="center"/>
      </w:pPr>
    </w:p>
    <w:p w:rsidR="006F379F" w:rsidRDefault="006F379F">
      <w:pPr>
        <w:pStyle w:val="BodyA"/>
        <w:jc w:val="center"/>
      </w:pPr>
    </w:p>
    <w:p w:rsidR="006F379F" w:rsidRDefault="006F379F">
      <w:pPr>
        <w:pStyle w:val="BodyA"/>
        <w:jc w:val="center"/>
      </w:pPr>
    </w:p>
    <w:p w:rsidR="006F379F" w:rsidRDefault="0079654B">
      <w:pPr>
        <w:pStyle w:val="BodyA"/>
        <w:jc w:val="center"/>
      </w:pPr>
      <w:r>
        <w:rPr>
          <w:rFonts w:ascii="Arial" w:hAnsi="Arial"/>
          <w:b/>
          <w:bCs/>
        </w:rPr>
        <w:t>The 13</w:t>
      </w:r>
      <w:r>
        <w:rPr>
          <w:rFonts w:ascii="Arial" w:hAnsi="Arial"/>
          <w:b/>
          <w:bCs/>
          <w:vertAlign w:val="superscript"/>
        </w:rPr>
        <w:t>th</w:t>
      </w:r>
      <w:r>
        <w:rPr>
          <w:rFonts w:ascii="Arial" w:hAnsi="Arial"/>
          <w:b/>
          <w:bCs/>
        </w:rPr>
        <w:t xml:space="preserve"> CTI-CFF SENIOR OFFICIALS</w:t>
      </w:r>
      <w:r>
        <w:rPr>
          <w:rFonts w:ascii="Arial" w:hAnsi="Arial"/>
          <w:b/>
          <w:bCs/>
        </w:rPr>
        <w:t xml:space="preserve">’ </w:t>
      </w:r>
      <w:r>
        <w:rPr>
          <w:rFonts w:ascii="Arial" w:hAnsi="Arial"/>
          <w:b/>
          <w:bCs/>
        </w:rPr>
        <w:t>MEETING (SOM-13)</w:t>
      </w:r>
    </w:p>
    <w:p w:rsidR="006F379F" w:rsidRDefault="006F379F">
      <w:pPr>
        <w:pStyle w:val="BodyA"/>
        <w:jc w:val="center"/>
      </w:pPr>
    </w:p>
    <w:p w:rsidR="006F379F" w:rsidRDefault="0079654B">
      <w:pPr>
        <w:pStyle w:val="BodyA"/>
        <w:jc w:val="center"/>
      </w:pPr>
      <w:r>
        <w:rPr>
          <w:rFonts w:ascii="Arial" w:hAnsi="Arial"/>
          <w:b/>
          <w:bCs/>
        </w:rPr>
        <w:t>29-30 November 2017</w:t>
      </w:r>
    </w:p>
    <w:p w:rsidR="006F379F" w:rsidRDefault="0079654B">
      <w:pPr>
        <w:pStyle w:val="BodyA"/>
        <w:jc w:val="center"/>
      </w:pPr>
      <w:r>
        <w:rPr>
          <w:rFonts w:ascii="Arial" w:hAnsi="Arial"/>
          <w:b/>
          <w:bCs/>
          <w:lang w:val="it-IT"/>
        </w:rPr>
        <w:t>Dusit Thani Hotel</w:t>
      </w:r>
    </w:p>
    <w:p w:rsidR="006F379F" w:rsidRDefault="0079654B">
      <w:pPr>
        <w:pStyle w:val="BodyA"/>
        <w:jc w:val="center"/>
      </w:pPr>
      <w:r>
        <w:rPr>
          <w:rFonts w:ascii="Arial" w:hAnsi="Arial"/>
          <w:b/>
          <w:bCs/>
          <w:lang w:val="it-IT"/>
        </w:rPr>
        <w:t>Makati City, Philippines</w:t>
      </w:r>
    </w:p>
    <w:p w:rsidR="006F379F" w:rsidRDefault="006F379F">
      <w:pPr>
        <w:pStyle w:val="BodyA"/>
      </w:pPr>
    </w:p>
    <w:p w:rsidR="006F379F" w:rsidRDefault="006F379F">
      <w:pPr>
        <w:pStyle w:val="BodyA"/>
      </w:pPr>
    </w:p>
    <w:p w:rsidR="006F379F" w:rsidRDefault="006F379F">
      <w:pPr>
        <w:pStyle w:val="BodyA"/>
      </w:pPr>
    </w:p>
    <w:p w:rsidR="006F379F" w:rsidRDefault="006F379F">
      <w:pPr>
        <w:pStyle w:val="BodyA"/>
      </w:pPr>
    </w:p>
    <w:p w:rsidR="006F379F" w:rsidRDefault="006F379F">
      <w:pPr>
        <w:pStyle w:val="Default"/>
      </w:pPr>
    </w:p>
    <w:p w:rsidR="006F379F" w:rsidRDefault="0079654B">
      <w:pPr>
        <w:pStyle w:val="Default"/>
        <w:jc w:val="center"/>
      </w:pPr>
      <w:r>
        <w:rPr>
          <w:b/>
          <w:bCs/>
          <w:lang w:val="en-US"/>
        </w:rPr>
        <w:t>Adopted on X</w:t>
      </w:r>
      <w:r>
        <w:rPr>
          <w:b/>
          <w:bCs/>
          <w:vertAlign w:val="superscript"/>
          <w:lang w:val="en-US"/>
        </w:rPr>
        <w:t xml:space="preserve"> </w:t>
      </w:r>
      <w:r>
        <w:rPr>
          <w:b/>
          <w:bCs/>
          <w:lang w:val="en-US"/>
        </w:rPr>
        <w:t>November 2017</w:t>
      </w:r>
    </w:p>
    <w:p w:rsidR="006F379F" w:rsidRDefault="0079654B">
      <w:pPr>
        <w:pStyle w:val="Default"/>
        <w:jc w:val="center"/>
      </w:pPr>
      <w:r>
        <w:rPr>
          <w:b/>
          <w:bCs/>
          <w:lang w:val="en-US"/>
        </w:rPr>
        <w:t>by</w:t>
      </w:r>
    </w:p>
    <w:p w:rsidR="006F379F" w:rsidRDefault="0079654B">
      <w:pPr>
        <w:pStyle w:val="BodyA"/>
        <w:jc w:val="center"/>
      </w:pPr>
      <w:r>
        <w:rPr>
          <w:rFonts w:ascii="Arial" w:hAnsi="Arial"/>
          <w:b/>
          <w:bCs/>
        </w:rPr>
        <w:t>the Governments of Indonesia, Malaysia, Papua New Guinea,</w:t>
      </w:r>
    </w:p>
    <w:p w:rsidR="006F379F" w:rsidRDefault="0079654B">
      <w:pPr>
        <w:pStyle w:val="BodyA"/>
        <w:jc w:val="center"/>
      </w:pPr>
      <w:r>
        <w:rPr>
          <w:rFonts w:ascii="Arial" w:hAnsi="Arial"/>
          <w:b/>
          <w:bCs/>
        </w:rPr>
        <w:t xml:space="preserve">         the Philippines, Solomon Islands, and Timor-Leste</w:t>
      </w:r>
    </w:p>
    <w:p w:rsidR="006F379F" w:rsidRDefault="006F379F">
      <w:pPr>
        <w:pStyle w:val="BodyA"/>
      </w:pPr>
    </w:p>
    <w:p w:rsidR="006F379F" w:rsidRDefault="0079654B">
      <w:pPr>
        <w:pStyle w:val="Default"/>
        <w:spacing w:line="276" w:lineRule="auto"/>
        <w:jc w:val="center"/>
      </w:pPr>
      <w:r>
        <w:rPr>
          <w:b/>
          <w:bCs/>
          <w:lang w:val="en-US"/>
        </w:rPr>
        <w:lastRenderedPageBreak/>
        <w:t>I. Background</w:t>
      </w:r>
    </w:p>
    <w:p w:rsidR="006F379F" w:rsidRDefault="006F379F">
      <w:pPr>
        <w:pStyle w:val="Default"/>
        <w:spacing w:line="276" w:lineRule="auto"/>
        <w:jc w:val="both"/>
      </w:pPr>
    </w:p>
    <w:p w:rsidR="006F379F" w:rsidRDefault="0079654B">
      <w:pPr>
        <w:pStyle w:val="Default"/>
        <w:spacing w:line="288" w:lineRule="auto"/>
        <w:jc w:val="both"/>
      </w:pPr>
      <w:r>
        <w:rPr>
          <w:lang w:val="en-US"/>
        </w:rPr>
        <w:t xml:space="preserve">Guided by the SOM12 decisions and with the support of the development partners and collaborators, the CCA Working Group </w:t>
      </w:r>
      <w:r>
        <w:rPr>
          <w:lang w:val="en-US"/>
        </w:rPr>
        <w:t>proceeded to conduct two (2) major events this year and that is the Regional CTI Blue Carbon Workshop, which was partly funded by the Government of Australia with technical assistance from Conservation International, and the 5th CCA TWG meeting to continue</w:t>
      </w:r>
      <w:r>
        <w:rPr>
          <w:lang w:val="en-US"/>
        </w:rPr>
        <w:t xml:space="preserve"> the discussions on the establishment of national Centers of Excellence on Climate Change Adaptation. The first event which was held in Tagaytay City, Philippines is a completion of the priority action identified during the 2nd Regional Priorities Workshop</w:t>
      </w:r>
      <w:r>
        <w:rPr>
          <w:lang w:val="en-US"/>
        </w:rPr>
        <w:t xml:space="preserve"> in 2013 that is to conduct a regional workshop on blue carbon to understand terms and concepts and develop position statements for the CT region.</w:t>
      </w:r>
    </w:p>
    <w:p w:rsidR="006F379F" w:rsidRDefault="006F379F">
      <w:pPr>
        <w:pStyle w:val="Default"/>
        <w:spacing w:line="288" w:lineRule="auto"/>
        <w:jc w:val="both"/>
      </w:pPr>
    </w:p>
    <w:p w:rsidR="006F379F" w:rsidRDefault="0079654B">
      <w:pPr>
        <w:pStyle w:val="Default"/>
        <w:spacing w:line="288" w:lineRule="auto"/>
        <w:jc w:val="both"/>
      </w:pPr>
      <w:r>
        <w:rPr>
          <w:lang w:val="en-US"/>
        </w:rPr>
        <w:t>During the 5th CCA TWG meeting in Manila, Philippines, it was learned that all member states except for Timo</w:t>
      </w:r>
      <w:r>
        <w:rPr>
          <w:lang w:val="en-US"/>
        </w:rPr>
        <w:t xml:space="preserve">r-Leste (unable to attend the meeting) have initially discussed at the national level about plans to establish COE on CCA. In that same meeting, the group was also able to revisit the CCA monitoring and evaluation indicators </w:t>
      </w:r>
      <w:proofErr w:type="gramStart"/>
      <w:r>
        <w:rPr>
          <w:lang w:val="en-US"/>
        </w:rPr>
        <w:t>in order to</w:t>
      </w:r>
      <w:proofErr w:type="gramEnd"/>
      <w:r>
        <w:rPr>
          <w:lang w:val="en-US"/>
        </w:rPr>
        <w:t xml:space="preserve"> prepare a more accu</w:t>
      </w:r>
      <w:r>
        <w:rPr>
          <w:lang w:val="en-US"/>
        </w:rPr>
        <w:t xml:space="preserve">rate data and information to report to SOM. </w:t>
      </w:r>
    </w:p>
    <w:p w:rsidR="006F379F" w:rsidRDefault="006F379F">
      <w:pPr>
        <w:pStyle w:val="Default"/>
        <w:spacing w:line="288" w:lineRule="auto"/>
        <w:jc w:val="both"/>
      </w:pPr>
    </w:p>
    <w:p w:rsidR="006F379F" w:rsidRDefault="0079654B">
      <w:pPr>
        <w:pStyle w:val="Default"/>
        <w:spacing w:line="288" w:lineRule="auto"/>
        <w:jc w:val="both"/>
      </w:pPr>
      <w:r>
        <w:rPr>
          <w:lang w:val="en-US"/>
        </w:rPr>
        <w:t xml:space="preserve"> </w:t>
      </w:r>
    </w:p>
    <w:p w:rsidR="006F379F" w:rsidRDefault="0079654B">
      <w:pPr>
        <w:pStyle w:val="Default"/>
        <w:spacing w:line="288" w:lineRule="auto"/>
        <w:jc w:val="center"/>
      </w:pPr>
      <w:r>
        <w:rPr>
          <w:b/>
          <w:bCs/>
          <w:lang w:val="en-US"/>
        </w:rPr>
        <w:t>II. Decision</w:t>
      </w:r>
    </w:p>
    <w:p w:rsidR="006F379F" w:rsidRDefault="006F379F">
      <w:pPr>
        <w:pStyle w:val="Default"/>
        <w:spacing w:line="288" w:lineRule="auto"/>
        <w:jc w:val="both"/>
      </w:pPr>
    </w:p>
    <w:p w:rsidR="006F379F" w:rsidRDefault="0079654B">
      <w:pPr>
        <w:pStyle w:val="BodyA"/>
        <w:spacing w:line="288" w:lineRule="auto"/>
        <w:jc w:val="both"/>
      </w:pPr>
      <w:r>
        <w:rPr>
          <w:rFonts w:ascii="Arial" w:hAnsi="Arial"/>
        </w:rPr>
        <w:t xml:space="preserve">Based on the presentation by the WG and discussions during the session on </w:t>
      </w:r>
      <w:r>
        <w:rPr>
          <w:rFonts w:ascii="Arial" w:hAnsi="Arial"/>
          <w:i/>
          <w:iCs/>
        </w:rPr>
        <w:t xml:space="preserve">Technical Working Group Reports - CCA </w:t>
      </w:r>
      <w:r>
        <w:rPr>
          <w:rFonts w:ascii="Arial" w:hAnsi="Arial"/>
        </w:rPr>
        <w:t>at SOM13, the Senior Officials hereby:</w:t>
      </w:r>
    </w:p>
    <w:p w:rsidR="006F379F" w:rsidRDefault="006F379F">
      <w:pPr>
        <w:pStyle w:val="BodyA"/>
        <w:spacing w:line="288" w:lineRule="auto"/>
        <w:jc w:val="both"/>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Noted the progress of the working group on</w:t>
      </w:r>
      <w:r>
        <w:rPr>
          <w:rFonts w:ascii="Arial" w:hAnsi="Arial"/>
          <w:b w:val="0"/>
          <w:bCs w:val="0"/>
          <w:caps w:val="0"/>
          <w:sz w:val="24"/>
          <w:szCs w:val="24"/>
        </w:rPr>
        <w:t xml:space="preserve"> the establishment of Centers of Excellence on climate change adaptation and directed the WG to continue the discussions and pursue actions that will lead towards the attainment of Target 2 of Goal 4 of the RPOA; </w:t>
      </w:r>
    </w:p>
    <w:p w:rsidR="006F379F" w:rsidRDefault="006F379F">
      <w:pPr>
        <w:pStyle w:val="Caption"/>
        <w:tabs>
          <w:tab w:val="left" w:pos="810"/>
        </w:tabs>
        <w:suppressAutoHyphens/>
        <w:spacing w:line="276" w:lineRule="auto"/>
        <w:ind w:left="336" w:hanging="336"/>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sz w:val="24"/>
          <w:szCs w:val="24"/>
        </w:rPr>
        <w:t>A</w:t>
      </w:r>
      <w:r>
        <w:rPr>
          <w:rFonts w:ascii="Arial" w:hAnsi="Arial"/>
          <w:b w:val="0"/>
          <w:bCs w:val="0"/>
          <w:caps w:val="0"/>
          <w:sz w:val="24"/>
          <w:szCs w:val="24"/>
        </w:rPr>
        <w:t>dopted the proposed Terms of Reference f</w:t>
      </w:r>
      <w:r>
        <w:rPr>
          <w:rFonts w:ascii="Arial" w:hAnsi="Arial"/>
          <w:b w:val="0"/>
          <w:bCs w:val="0"/>
          <w:caps w:val="0"/>
          <w:sz w:val="24"/>
          <w:szCs w:val="24"/>
        </w:rPr>
        <w:t>or the establishment of the CTI Center of Excellence on climate change adaptation;</w:t>
      </w:r>
    </w:p>
    <w:p w:rsidR="006F379F" w:rsidRDefault="006F379F">
      <w:pPr>
        <w:pStyle w:val="Caption"/>
        <w:tabs>
          <w:tab w:val="left" w:pos="810"/>
        </w:tabs>
        <w:suppressAutoHyphens/>
        <w:spacing w:line="276" w:lineRule="auto"/>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 xml:space="preserve">Accepted the proposal of Malaysia to establish the interim CTI Regional Center of Excellence on CCA at the </w:t>
      </w:r>
      <w:proofErr w:type="spellStart"/>
      <w:r>
        <w:rPr>
          <w:rFonts w:ascii="Arial" w:hAnsi="Arial"/>
          <w:b w:val="0"/>
          <w:bCs w:val="0"/>
          <w:caps w:val="0"/>
          <w:sz w:val="24"/>
          <w:szCs w:val="24"/>
        </w:rPr>
        <w:t>Universiti</w:t>
      </w:r>
      <w:proofErr w:type="spellEnd"/>
      <w:r>
        <w:rPr>
          <w:rFonts w:ascii="Arial" w:hAnsi="Arial"/>
          <w:b w:val="0"/>
          <w:bCs w:val="0"/>
          <w:caps w:val="0"/>
          <w:sz w:val="24"/>
          <w:szCs w:val="24"/>
        </w:rPr>
        <w:t xml:space="preserve"> of Malaysia Terengganu at no additional cost to the </w:t>
      </w:r>
      <w:r>
        <w:rPr>
          <w:rFonts w:ascii="Arial" w:hAnsi="Arial"/>
          <w:b w:val="0"/>
          <w:bCs w:val="0"/>
          <w:caps w:val="0"/>
          <w:sz w:val="24"/>
          <w:szCs w:val="24"/>
        </w:rPr>
        <w:t xml:space="preserve">member states; </w:t>
      </w:r>
      <w:r>
        <w:rPr>
          <w:rFonts w:ascii="Arial" w:hAnsi="Arial"/>
          <w:b w:val="0"/>
          <w:bCs w:val="0"/>
          <w:caps w:val="0"/>
          <w:color w:val="FF2600"/>
          <w:sz w:val="24"/>
          <w:szCs w:val="24"/>
        </w:rPr>
        <w:t>(This is still subject to the decision of the WG whether to accept the proposal or not).</w:t>
      </w:r>
    </w:p>
    <w:p w:rsidR="006F379F" w:rsidRDefault="006F379F">
      <w:pPr>
        <w:pStyle w:val="Caption"/>
        <w:suppressAutoHyphens/>
        <w:spacing w:line="276" w:lineRule="auto"/>
        <w:ind w:left="810"/>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 xml:space="preserve">Enjoined the development partners and collaborators to assist the member states in updating the CT Atlas </w:t>
      </w:r>
      <w:proofErr w:type="gramStart"/>
      <w:r>
        <w:rPr>
          <w:rFonts w:ascii="Arial" w:hAnsi="Arial"/>
          <w:b w:val="0"/>
          <w:bCs w:val="0"/>
          <w:caps w:val="0"/>
          <w:sz w:val="24"/>
          <w:szCs w:val="24"/>
        </w:rPr>
        <w:t>in order to</w:t>
      </w:r>
      <w:proofErr w:type="gramEnd"/>
      <w:r>
        <w:rPr>
          <w:rFonts w:ascii="Arial" w:hAnsi="Arial"/>
          <w:b w:val="0"/>
          <w:bCs w:val="0"/>
          <w:caps w:val="0"/>
          <w:sz w:val="24"/>
          <w:szCs w:val="24"/>
        </w:rPr>
        <w:t xml:space="preserve"> generate an updated report on the </w:t>
      </w:r>
      <w:r>
        <w:rPr>
          <w:rFonts w:ascii="Arial" w:hAnsi="Arial"/>
          <w:b w:val="0"/>
          <w:bCs w:val="0"/>
          <w:caps w:val="0"/>
          <w:sz w:val="24"/>
          <w:szCs w:val="24"/>
        </w:rPr>
        <w:t xml:space="preserve">impacts and status of climate change in the CT </w:t>
      </w:r>
      <w:r w:rsidR="00A52324">
        <w:rPr>
          <w:rFonts w:ascii="Arial" w:hAnsi="Arial"/>
          <w:b w:val="0"/>
          <w:bCs w:val="0"/>
          <w:caps w:val="0"/>
          <w:sz w:val="24"/>
          <w:szCs w:val="24"/>
        </w:rPr>
        <w:t>Region;</w:t>
      </w:r>
    </w:p>
    <w:p w:rsidR="006F379F" w:rsidRDefault="006F379F">
      <w:pPr>
        <w:pStyle w:val="Caption"/>
        <w:tabs>
          <w:tab w:val="left" w:pos="810"/>
        </w:tabs>
        <w:suppressAutoHyphens/>
        <w:spacing w:line="276" w:lineRule="auto"/>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sz w:val="24"/>
          <w:szCs w:val="24"/>
        </w:rPr>
        <w:lastRenderedPageBreak/>
        <w:t>A</w:t>
      </w:r>
      <w:r>
        <w:rPr>
          <w:rFonts w:ascii="Arial" w:hAnsi="Arial"/>
          <w:b w:val="0"/>
          <w:bCs w:val="0"/>
          <w:caps w:val="0"/>
          <w:sz w:val="24"/>
          <w:szCs w:val="24"/>
        </w:rPr>
        <w:t xml:space="preserve">cknowledged that blue carbon is a new and emerging concept for some of the CT member countries and therefore adopted the regional work plan developed by the working group to further the initiatives </w:t>
      </w:r>
      <w:r>
        <w:rPr>
          <w:rFonts w:ascii="Arial" w:hAnsi="Arial"/>
          <w:b w:val="0"/>
          <w:bCs w:val="0"/>
          <w:caps w:val="0"/>
          <w:sz w:val="24"/>
          <w:szCs w:val="24"/>
        </w:rPr>
        <w:t>on BC in the CT region;</w:t>
      </w:r>
    </w:p>
    <w:p w:rsidR="006F379F" w:rsidRDefault="006F379F">
      <w:pPr>
        <w:pStyle w:val="Caption"/>
        <w:tabs>
          <w:tab w:val="left" w:pos="810"/>
        </w:tabs>
        <w:suppressAutoHyphens/>
        <w:spacing w:line="276" w:lineRule="auto"/>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 xml:space="preserve">Approved the draft 2017 Communique on CCA which is a reaffirmation of the Paris Agreement where all the member states are </w:t>
      </w:r>
      <w:r w:rsidR="00A52324">
        <w:rPr>
          <w:rFonts w:ascii="Arial" w:hAnsi="Arial"/>
          <w:b w:val="0"/>
          <w:bCs w:val="0"/>
          <w:caps w:val="0"/>
          <w:sz w:val="24"/>
          <w:szCs w:val="24"/>
        </w:rPr>
        <w:t>signatories,</w:t>
      </w:r>
      <w:r>
        <w:rPr>
          <w:rFonts w:ascii="Arial" w:hAnsi="Arial"/>
          <w:b w:val="0"/>
          <w:bCs w:val="0"/>
          <w:caps w:val="0"/>
          <w:sz w:val="24"/>
          <w:szCs w:val="24"/>
        </w:rPr>
        <w:t xml:space="preserve"> and which also contains commitments to further the initiatives on climate change adaptation and m</w:t>
      </w:r>
      <w:r>
        <w:rPr>
          <w:rFonts w:ascii="Arial" w:hAnsi="Arial"/>
          <w:b w:val="0"/>
          <w:bCs w:val="0"/>
          <w:caps w:val="0"/>
          <w:sz w:val="24"/>
          <w:szCs w:val="24"/>
        </w:rPr>
        <w:t>itigation;</w:t>
      </w:r>
    </w:p>
    <w:p w:rsidR="006F379F" w:rsidRDefault="006F379F">
      <w:pPr>
        <w:pStyle w:val="Caption"/>
        <w:tabs>
          <w:tab w:val="left" w:pos="810"/>
        </w:tabs>
        <w:suppressAutoHyphens/>
        <w:spacing w:line="276" w:lineRule="auto"/>
        <w:ind w:left="336" w:hanging="336"/>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Called on development partners to assist the working group and the Regional Secretariat in sourcing funds to support the various capacity building activities of the CCA WG; and,</w:t>
      </w:r>
    </w:p>
    <w:p w:rsidR="006F379F" w:rsidRDefault="006F379F">
      <w:pPr>
        <w:pStyle w:val="Caption"/>
        <w:tabs>
          <w:tab w:val="left" w:pos="810"/>
        </w:tabs>
        <w:suppressAutoHyphens/>
        <w:spacing w:line="276" w:lineRule="auto"/>
        <w:ind w:left="336" w:hanging="336"/>
        <w:jc w:val="both"/>
        <w:outlineLvl w:val="1"/>
      </w:pPr>
    </w:p>
    <w:p w:rsidR="006F379F" w:rsidRDefault="0079654B">
      <w:pPr>
        <w:pStyle w:val="Caption"/>
        <w:numPr>
          <w:ilvl w:val="0"/>
          <w:numId w:val="2"/>
        </w:numPr>
        <w:suppressAutoHyphens/>
        <w:spacing w:line="276" w:lineRule="auto"/>
        <w:jc w:val="both"/>
        <w:outlineLvl w:val="1"/>
        <w:rPr>
          <w:rFonts w:ascii="Arial" w:hAnsi="Arial"/>
          <w:b w:val="0"/>
          <w:bCs w:val="0"/>
          <w:sz w:val="24"/>
          <w:szCs w:val="24"/>
        </w:rPr>
      </w:pPr>
      <w:r>
        <w:rPr>
          <w:rFonts w:ascii="Arial" w:hAnsi="Arial"/>
          <w:b w:val="0"/>
          <w:bCs w:val="0"/>
          <w:caps w:val="0"/>
          <w:sz w:val="24"/>
          <w:szCs w:val="24"/>
        </w:rPr>
        <w:t>Approved the CCA TWG Work Plan 2018.</w:t>
      </w:r>
    </w:p>
    <w:p w:rsidR="006F379F" w:rsidRDefault="0079654B">
      <w:pPr>
        <w:pStyle w:val="BodyA"/>
        <w:spacing w:line="288" w:lineRule="auto"/>
        <w:jc w:val="both"/>
      </w:pPr>
      <w:r>
        <w:rPr>
          <w:rFonts w:ascii="Arial" w:eastAsia="Arial" w:hAnsi="Arial" w:cs="Arial"/>
        </w:rPr>
        <w:tab/>
      </w:r>
    </w:p>
    <w:p w:rsidR="006F379F" w:rsidRDefault="0079654B">
      <w:pPr>
        <w:pStyle w:val="BodyA"/>
        <w:spacing w:line="288" w:lineRule="auto"/>
        <w:jc w:val="both"/>
      </w:pPr>
      <w:r>
        <w:rPr>
          <w:rFonts w:ascii="Arial" w:hAnsi="Arial"/>
          <w:b/>
          <w:bCs/>
        </w:rPr>
        <w:t>Attachments:</w:t>
      </w:r>
    </w:p>
    <w:p w:rsidR="006F379F" w:rsidRDefault="006F379F">
      <w:pPr>
        <w:pStyle w:val="BodyA"/>
        <w:spacing w:line="288" w:lineRule="auto"/>
        <w:jc w:val="both"/>
      </w:pPr>
    </w:p>
    <w:p w:rsidR="006F379F" w:rsidRDefault="0079654B">
      <w:pPr>
        <w:pStyle w:val="BodyA"/>
        <w:numPr>
          <w:ilvl w:val="0"/>
          <w:numId w:val="4"/>
        </w:numPr>
        <w:spacing w:line="288" w:lineRule="auto"/>
        <w:jc w:val="both"/>
        <w:rPr>
          <w:rFonts w:ascii="Arial" w:hAnsi="Arial"/>
        </w:rPr>
      </w:pPr>
      <w:r>
        <w:rPr>
          <w:rFonts w:ascii="Arial" w:hAnsi="Arial"/>
        </w:rPr>
        <w:t xml:space="preserve">CCA Working </w:t>
      </w:r>
      <w:r>
        <w:rPr>
          <w:rFonts w:ascii="Arial" w:hAnsi="Arial"/>
        </w:rPr>
        <w:t>Group report to SOM13</w:t>
      </w:r>
    </w:p>
    <w:p w:rsidR="006F379F" w:rsidRDefault="0079654B">
      <w:pPr>
        <w:pStyle w:val="BodyA"/>
        <w:numPr>
          <w:ilvl w:val="0"/>
          <w:numId w:val="4"/>
        </w:numPr>
        <w:spacing w:line="288" w:lineRule="auto"/>
        <w:jc w:val="both"/>
        <w:rPr>
          <w:rFonts w:ascii="Arial" w:hAnsi="Arial"/>
        </w:rPr>
      </w:pPr>
      <w:r>
        <w:rPr>
          <w:rFonts w:ascii="Arial" w:hAnsi="Arial"/>
        </w:rPr>
        <w:t>Draft Terms of Reference for the establishment of COE on CCA</w:t>
      </w:r>
    </w:p>
    <w:p w:rsidR="006F379F" w:rsidRDefault="0079654B">
      <w:pPr>
        <w:pStyle w:val="BodyA"/>
        <w:numPr>
          <w:ilvl w:val="0"/>
          <w:numId w:val="4"/>
        </w:numPr>
        <w:spacing w:line="288" w:lineRule="auto"/>
        <w:jc w:val="both"/>
        <w:rPr>
          <w:rFonts w:ascii="Arial" w:hAnsi="Arial"/>
        </w:rPr>
      </w:pPr>
      <w:r>
        <w:rPr>
          <w:rFonts w:ascii="Arial" w:hAnsi="Arial"/>
        </w:rPr>
        <w:t>Proposal for the establishment of an interim COE on CCA in Malaysia</w:t>
      </w:r>
    </w:p>
    <w:p w:rsidR="006F379F" w:rsidRDefault="0079654B">
      <w:pPr>
        <w:pStyle w:val="BodyA"/>
        <w:numPr>
          <w:ilvl w:val="0"/>
          <w:numId w:val="4"/>
        </w:numPr>
        <w:spacing w:line="288" w:lineRule="auto"/>
        <w:jc w:val="both"/>
        <w:rPr>
          <w:rFonts w:ascii="Arial" w:hAnsi="Arial"/>
        </w:rPr>
      </w:pPr>
      <w:r>
        <w:rPr>
          <w:rFonts w:ascii="Arial" w:hAnsi="Arial"/>
        </w:rPr>
        <w:t>Minutes of the 5th CCA TWG meeting</w:t>
      </w:r>
    </w:p>
    <w:p w:rsidR="006F379F" w:rsidRDefault="0079654B">
      <w:pPr>
        <w:pStyle w:val="BodyA"/>
        <w:numPr>
          <w:ilvl w:val="0"/>
          <w:numId w:val="4"/>
        </w:numPr>
        <w:spacing w:line="288" w:lineRule="auto"/>
        <w:jc w:val="both"/>
      </w:pPr>
      <w:r>
        <w:rPr>
          <w:rFonts w:ascii="Arial" w:hAnsi="Arial"/>
        </w:rPr>
        <w:t>Draft 2017 Communique on CCA</w:t>
      </w:r>
    </w:p>
    <w:sectPr w:rsidR="006F379F">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54B" w:rsidRDefault="0079654B">
      <w:r>
        <w:separator/>
      </w:r>
    </w:p>
  </w:endnote>
  <w:endnote w:type="continuationSeparator" w:id="0">
    <w:p w:rsidR="0079654B" w:rsidRDefault="00796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2324" w:rsidRDefault="00A52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79F" w:rsidRDefault="0079654B">
    <w:pPr>
      <w:pStyle w:val="Footer"/>
      <w:tabs>
        <w:tab w:val="clear" w:pos="8640"/>
        <w:tab w:val="right" w:pos="8528"/>
      </w:tabs>
    </w:pPr>
    <w:r>
      <w:rPr>
        <w:rFonts w:ascii="Arial" w:hAnsi="Arial"/>
        <w:sz w:val="20"/>
        <w:szCs w:val="20"/>
      </w:rPr>
      <w:t>The 13</w:t>
    </w:r>
    <w:r>
      <w:rPr>
        <w:rFonts w:ascii="Arial" w:hAnsi="Arial"/>
        <w:sz w:val="20"/>
        <w:szCs w:val="20"/>
        <w:vertAlign w:val="superscript"/>
      </w:rPr>
      <w:t>th</w:t>
    </w:r>
    <w:r>
      <w:rPr>
        <w:rFonts w:ascii="Arial" w:hAnsi="Arial"/>
        <w:sz w:val="20"/>
        <w:szCs w:val="20"/>
      </w:rPr>
      <w:t xml:space="preserve"> CTI-CFF Senior Official Meeting </w:t>
    </w:r>
    <w:r>
      <w:rPr>
        <w:rFonts w:ascii="Arial" w:hAnsi="Arial"/>
        <w:sz w:val="20"/>
        <w:szCs w:val="20"/>
      </w:rPr>
      <w:tab/>
    </w:r>
    <w:r>
      <w:rPr>
        <w:rFonts w:ascii="Arial" w:hAnsi="Arial"/>
        <w:sz w:val="20"/>
        <w:szCs w:val="20"/>
      </w:rPr>
      <w:tab/>
    </w:r>
    <w:r>
      <w:rPr>
        <w:rFonts w:ascii="Arial" w:eastAsia="Arial" w:hAnsi="Arial" w:cs="Arial"/>
        <w:sz w:val="20"/>
        <w:szCs w:val="20"/>
      </w:rPr>
      <w:fldChar w:fldCharType="begin"/>
    </w:r>
    <w:r>
      <w:rPr>
        <w:rFonts w:ascii="Arial" w:eastAsia="Arial" w:hAnsi="Arial" w:cs="Arial"/>
        <w:sz w:val="20"/>
        <w:szCs w:val="20"/>
      </w:rPr>
      <w:instrText xml:space="preserve"> PAGE </w:instrText>
    </w:r>
    <w:r>
      <w:rPr>
        <w:rFonts w:ascii="Arial" w:eastAsia="Arial" w:hAnsi="Arial" w:cs="Arial"/>
        <w:sz w:val="20"/>
        <w:szCs w:val="20"/>
      </w:rPr>
      <w:fldChar w:fldCharType="separate"/>
    </w:r>
    <w:r w:rsidR="00A52324">
      <w:rPr>
        <w:rFonts w:ascii="Arial" w:eastAsia="Arial" w:hAnsi="Arial" w:cs="Arial"/>
        <w:noProof/>
        <w:sz w:val="20"/>
        <w:szCs w:val="20"/>
      </w:rPr>
      <w:t>2</w:t>
    </w:r>
    <w:r>
      <w:rPr>
        <w:rFonts w:ascii="Arial" w:eastAsia="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2324" w:rsidRDefault="00A52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54B" w:rsidRDefault="0079654B">
      <w:r>
        <w:separator/>
      </w:r>
    </w:p>
  </w:footnote>
  <w:footnote w:type="continuationSeparator" w:id="0">
    <w:p w:rsidR="0079654B" w:rsidRDefault="00796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2324" w:rsidRDefault="00A52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5650151"/>
      <w:docPartObj>
        <w:docPartGallery w:val="Watermarks"/>
        <w:docPartUnique/>
      </w:docPartObj>
    </w:sdtPr>
    <w:sdtContent>
      <w:p w:rsidR="006F379F" w:rsidRDefault="00A52324">
        <w:pPr>
          <w:pStyle w:val="HeaderFoo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2324" w:rsidRDefault="00A52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07E6F"/>
    <w:multiLevelType w:val="hybridMultilevel"/>
    <w:tmpl w:val="1F3EE4F4"/>
    <w:numStyleLink w:val="Numbered"/>
  </w:abstractNum>
  <w:abstractNum w:abstractNumId="1" w15:restartNumberingAfterBreak="0">
    <w:nsid w:val="3D7B4F42"/>
    <w:multiLevelType w:val="hybridMultilevel"/>
    <w:tmpl w:val="58ECAD36"/>
    <w:numStyleLink w:val="ImportedStyle1"/>
  </w:abstractNum>
  <w:abstractNum w:abstractNumId="2" w15:restartNumberingAfterBreak="0">
    <w:nsid w:val="67851E2B"/>
    <w:multiLevelType w:val="hybridMultilevel"/>
    <w:tmpl w:val="1F3EE4F4"/>
    <w:styleLink w:val="Numbered"/>
    <w:lvl w:ilvl="0" w:tplc="F1F26B22">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87A8DDAA">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8006E06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962ED59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0942874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E93A1E6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8F1C9172">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4F92152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54F0F3C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A3F4390"/>
    <w:multiLevelType w:val="hybridMultilevel"/>
    <w:tmpl w:val="58ECAD36"/>
    <w:styleLink w:val="ImportedStyle1"/>
    <w:lvl w:ilvl="0" w:tplc="684A366A">
      <w:start w:val="1"/>
      <w:numFmt w:val="decimal"/>
      <w:lvlText w:val="%1."/>
      <w:lvlJc w:val="left"/>
      <w:pPr>
        <w:tabs>
          <w:tab w:val="left" w:pos="810"/>
          <w:tab w:val="left" w:pos="115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008B022">
      <w:start w:val="1"/>
      <w:numFmt w:val="lowerLetter"/>
      <w:lvlText w:val="%2."/>
      <w:lvlJc w:val="left"/>
      <w:pPr>
        <w:tabs>
          <w:tab w:val="left" w:pos="810"/>
          <w:tab w:val="left" w:pos="115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1A8626">
      <w:start w:val="1"/>
      <w:numFmt w:val="lowerRoman"/>
      <w:lvlText w:val="%3."/>
      <w:lvlJc w:val="left"/>
      <w:pPr>
        <w:tabs>
          <w:tab w:val="left" w:pos="810"/>
          <w:tab w:val="left" w:pos="1150"/>
        </w:tabs>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DBF4A67C">
      <w:start w:val="1"/>
      <w:numFmt w:val="decimal"/>
      <w:lvlText w:val="%4."/>
      <w:lvlJc w:val="left"/>
      <w:pPr>
        <w:tabs>
          <w:tab w:val="left" w:pos="810"/>
          <w:tab w:val="left" w:pos="115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DF0D57C">
      <w:start w:val="1"/>
      <w:numFmt w:val="lowerLetter"/>
      <w:lvlText w:val="%5."/>
      <w:lvlJc w:val="left"/>
      <w:pPr>
        <w:tabs>
          <w:tab w:val="left" w:pos="810"/>
          <w:tab w:val="left" w:pos="115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221726">
      <w:start w:val="1"/>
      <w:numFmt w:val="lowerRoman"/>
      <w:lvlText w:val="%6."/>
      <w:lvlJc w:val="left"/>
      <w:pPr>
        <w:tabs>
          <w:tab w:val="left" w:pos="810"/>
          <w:tab w:val="left" w:pos="1150"/>
        </w:tabs>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2464FE4">
      <w:start w:val="1"/>
      <w:numFmt w:val="decimal"/>
      <w:lvlText w:val="%7."/>
      <w:lvlJc w:val="left"/>
      <w:pPr>
        <w:tabs>
          <w:tab w:val="left" w:pos="810"/>
          <w:tab w:val="left" w:pos="115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0626F0">
      <w:start w:val="1"/>
      <w:numFmt w:val="lowerLetter"/>
      <w:lvlText w:val="%8."/>
      <w:lvlJc w:val="left"/>
      <w:pPr>
        <w:tabs>
          <w:tab w:val="left" w:pos="810"/>
          <w:tab w:val="left" w:pos="115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1EF898">
      <w:start w:val="1"/>
      <w:numFmt w:val="lowerRoman"/>
      <w:lvlText w:val="%9."/>
      <w:lvlJc w:val="left"/>
      <w:pPr>
        <w:tabs>
          <w:tab w:val="left" w:pos="810"/>
          <w:tab w:val="left" w:pos="1150"/>
        </w:tabs>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autoHyphenation/>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9F"/>
    <w:rsid w:val="006F379F"/>
    <w:rsid w:val="0079654B"/>
    <w:rsid w:val="00A52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303653"/>
  <w15:docId w15:val="{2E029D74-6AF0-4A3F-B00F-2043C5B0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320"/>
        <w:tab w:val="right" w:pos="8640"/>
      </w:tabs>
    </w:pPr>
    <w:rPr>
      <w:rFonts w:ascii="Cambria" w:eastAsia="Cambria" w:hAnsi="Cambria" w:cs="Cambria"/>
      <w:color w:val="000000"/>
      <w:sz w:val="24"/>
      <w:szCs w:val="24"/>
      <w:u w:color="000000"/>
      <w:lang w:val="en-US"/>
    </w:rPr>
  </w:style>
  <w:style w:type="paragraph" w:customStyle="1" w:styleId="BodyA">
    <w:name w:val="Body A"/>
    <w:rPr>
      <w:rFonts w:ascii="Cambria" w:eastAsia="Cambria" w:hAnsi="Cambria" w:cs="Cambria"/>
      <w:color w:val="000000"/>
      <w:sz w:val="24"/>
      <w:szCs w:val="24"/>
      <w:u w:color="000000"/>
      <w:lang w:val="en-US"/>
    </w:rPr>
  </w:style>
  <w:style w:type="paragraph" w:customStyle="1" w:styleId="Default">
    <w:name w:val="Default"/>
    <w:rPr>
      <w:rFonts w:ascii="Arial" w:eastAsia="Arial" w:hAnsi="Arial" w:cs="Arial"/>
      <w:color w:val="000000"/>
      <w:sz w:val="24"/>
      <w:szCs w:val="24"/>
      <w:u w:color="000000"/>
    </w:rPr>
  </w:style>
  <w:style w:type="paragraph" w:styleId="Caption">
    <w:name w:val="caption"/>
    <w:pPr>
      <w:tabs>
        <w:tab w:val="left" w:pos="1150"/>
      </w:tabs>
    </w:pPr>
    <w:rPr>
      <w:rFonts w:ascii="Helvetica" w:hAnsi="Helvetica" w:cs="Arial Unicode MS"/>
      <w:b/>
      <w:bCs/>
      <w:caps/>
      <w:color w:val="000000"/>
      <w:u w:color="000000"/>
      <w:lang w:val="en-US"/>
    </w:rPr>
  </w:style>
  <w:style w:type="numbering" w:customStyle="1" w:styleId="ImportedStyle1">
    <w:name w:val="Imported Style 1"/>
    <w:pPr>
      <w:numPr>
        <w:numId w:val="1"/>
      </w:numPr>
    </w:pPr>
  </w:style>
  <w:style w:type="numbering" w:customStyle="1" w:styleId="Numbered">
    <w:name w:val="Numbered"/>
    <w:pPr>
      <w:numPr>
        <w:numId w:val="3"/>
      </w:numPr>
    </w:pPr>
  </w:style>
  <w:style w:type="paragraph" w:styleId="Header">
    <w:name w:val="header"/>
    <w:basedOn w:val="Normal"/>
    <w:link w:val="HeaderChar"/>
    <w:uiPriority w:val="99"/>
    <w:unhideWhenUsed/>
    <w:rsid w:val="00A52324"/>
    <w:pPr>
      <w:tabs>
        <w:tab w:val="center" w:pos="4513"/>
        <w:tab w:val="right" w:pos="9026"/>
      </w:tabs>
    </w:pPr>
  </w:style>
  <w:style w:type="character" w:customStyle="1" w:styleId="HeaderChar">
    <w:name w:val="Header Char"/>
    <w:basedOn w:val="DefaultParagraphFont"/>
    <w:link w:val="Header"/>
    <w:uiPriority w:val="99"/>
    <w:rsid w:val="00A5232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37A16-371C-45FD-AD01-4F4F55F09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Ilham</cp:lastModifiedBy>
  <cp:revision>2</cp:revision>
  <dcterms:created xsi:type="dcterms:W3CDTF">2017-11-14T04:15:00Z</dcterms:created>
  <dcterms:modified xsi:type="dcterms:W3CDTF">2017-11-14T04:16:00Z</dcterms:modified>
</cp:coreProperties>
</file>