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A"/>
      </w:pPr>
      <w:r>
        <w:rPr>
          <w:rFonts w:ascii="Arial" w:cs="Arial" w:hAnsi="Arial" w:eastAsia="Arial"/>
        </w:rPr>
        <w:drawing>
          <wp:anchor distT="57150" distB="57150" distL="57150" distR="57150" simplePos="0" relativeHeight="251660288" behindDoc="0" locked="0" layoutInCell="1" allowOverlap="1">
            <wp:simplePos x="0" y="0"/>
            <wp:positionH relativeFrom="column">
              <wp:posOffset>0</wp:posOffset>
            </wp:positionH>
            <wp:positionV relativeFrom="line">
              <wp:posOffset>149859</wp:posOffset>
            </wp:positionV>
            <wp:extent cx="5553075" cy="1438275"/>
            <wp:effectExtent l="0" t="0" r="0" b="0"/>
            <wp:wrapTopAndBottom distT="57150" distB="57150"/>
            <wp:docPr id="1073741825" name="officeArt object" descr="logo cti copy.jpg"/>
            <wp:cNvGraphicFramePr/>
            <a:graphic xmlns:a="http://schemas.openxmlformats.org/drawingml/2006/main">
              <a:graphicData uri="http://schemas.openxmlformats.org/drawingml/2006/picture">
                <pic:pic xmlns:pic="http://schemas.openxmlformats.org/drawingml/2006/picture">
                  <pic:nvPicPr>
                    <pic:cNvPr id="1073741825" name="logo cti copy.jpg" descr="logo cti copy.jpg"/>
                    <pic:cNvPicPr>
                      <a:picLocks noChangeAspect="1"/>
                    </pic:cNvPicPr>
                  </pic:nvPicPr>
                  <pic:blipFill>
                    <a:blip r:embed="rId4">
                      <a:extLst/>
                    </a:blip>
                    <a:stretch>
                      <a:fillRect/>
                    </a:stretch>
                  </pic:blipFill>
                  <pic:spPr>
                    <a:xfrm>
                      <a:off x="0" y="0"/>
                      <a:ext cx="5553075" cy="1438275"/>
                    </a:xfrm>
                    <a:prstGeom prst="rect">
                      <a:avLst/>
                    </a:prstGeom>
                    <a:ln w="12700" cap="flat">
                      <a:noFill/>
                      <a:miter lim="400000"/>
                    </a:ln>
                    <a:effectLst/>
                  </pic:spPr>
                </pic:pic>
              </a:graphicData>
            </a:graphic>
          </wp:anchor>
        </w:drawing>
      </w:r>
    </w:p>
    <w:p>
      <w:pPr>
        <w:pStyle w:val="Body A"/>
      </w:pPr>
    </w:p>
    <w:p>
      <w:pPr>
        <w:pStyle w:val="Body A"/>
      </w:pPr>
      <w:r>
        <w:rPr>
          <w:rFonts w:ascii="Arial" w:cs="Arial" w:hAnsi="Arial" w:eastAsia="Arial"/>
        </w:rPr>
        <mc:AlternateContent>
          <mc:Choice Requires="wpg">
            <w:drawing>
              <wp:anchor distT="57150" distB="57150" distL="57150" distR="57150" simplePos="0" relativeHeight="251659264" behindDoc="0" locked="0" layoutInCell="1" allowOverlap="1">
                <wp:simplePos x="0" y="0"/>
                <wp:positionH relativeFrom="page">
                  <wp:posOffset>768983</wp:posOffset>
                </wp:positionH>
                <wp:positionV relativeFrom="page">
                  <wp:posOffset>3317240</wp:posOffset>
                </wp:positionV>
                <wp:extent cx="6154429" cy="2722254"/>
                <wp:effectExtent l="0" t="0" r="0" b="0"/>
                <wp:wrapThrough wrapText="bothSides" distL="57150" distR="57150">
                  <wp:wrapPolygon edited="1">
                    <wp:start x="0" y="0"/>
                    <wp:lineTo x="21600" y="0"/>
                    <wp:lineTo x="21600" y="21600"/>
                    <wp:lineTo x="0" y="21600"/>
                    <wp:lineTo x="0" y="0"/>
                  </wp:wrapPolygon>
                </wp:wrapThrough>
                <wp:docPr id="1073741828" name="officeArt object" descr="officeArt object"/>
                <wp:cNvGraphicFramePr/>
                <a:graphic xmlns:a="http://schemas.openxmlformats.org/drawingml/2006/main">
                  <a:graphicData uri="http://schemas.microsoft.com/office/word/2010/wordprocessingGroup">
                    <wpg:wgp>
                      <wpg:cNvGrpSpPr/>
                      <wpg:grpSpPr>
                        <a:xfrm>
                          <a:off x="0" y="0"/>
                          <a:ext cx="6154429" cy="2722254"/>
                          <a:chOff x="-1" y="0"/>
                          <a:chExt cx="6154428" cy="2722253"/>
                        </a:xfrm>
                      </wpg:grpSpPr>
                      <wps:wsp>
                        <wps:cNvPr id="1073741826" name="Shape 1073741827"/>
                        <wps:cNvSpPr/>
                        <wps:spPr>
                          <a:xfrm>
                            <a:off x="-2" y="-1"/>
                            <a:ext cx="6154430" cy="2722255"/>
                          </a:xfrm>
                          <a:prstGeom prst="rect">
                            <a:avLst/>
                          </a:prstGeom>
                          <a:noFill/>
                          <a:ln w="38100" cap="flat">
                            <a:solidFill>
                              <a:srgbClr val="000000"/>
                            </a:solidFill>
                            <a:prstDash val="solid"/>
                            <a:round/>
                          </a:ln>
                          <a:effectLst/>
                        </wps:spPr>
                        <wps:bodyPr/>
                      </wps:wsp>
                      <wps:wsp>
                        <wps:cNvPr id="1073741827" name="Shape 1073741828"/>
                        <wps:cNvSpPr txBox="1"/>
                        <wps:spPr>
                          <a:xfrm>
                            <a:off x="-2" y="-1"/>
                            <a:ext cx="6154430" cy="2722255"/>
                          </a:xfrm>
                          <a:prstGeom prst="rect">
                            <a:avLst/>
                          </a:prstGeom>
                          <a:noFill/>
                          <a:ln w="12700" cap="flat">
                            <a:noFill/>
                            <a:miter lim="400000"/>
                          </a:ln>
                          <a:effectLst/>
                        </wps:spPr>
                        <wps:txbx>
                          <w:txbxContent>
                            <w:p>
                              <w:pPr>
                                <w:pStyle w:val="Body A"/>
                                <w:rPr>
                                  <w:rFonts w:ascii="Arial" w:cs="Arial" w:hAnsi="Arial" w:eastAsia="Arial"/>
                                  <w:b w:val="1"/>
                                  <w:bCs w:val="1"/>
                                  <w:sz w:val="40"/>
                                  <w:szCs w:val="40"/>
                                </w:rPr>
                              </w:pPr>
                            </w:p>
                            <w:p>
                              <w:pPr>
                                <w:pStyle w:val="Body A"/>
                                <w:jc w:val="center"/>
                                <w:rPr>
                                  <w:rFonts w:ascii="Arial" w:cs="Arial" w:hAnsi="Arial" w:eastAsia="Arial"/>
                                  <w:b w:val="1"/>
                                  <w:bCs w:val="1"/>
                                  <w:sz w:val="40"/>
                                  <w:szCs w:val="40"/>
                                  <w:lang w:val="fr-FR"/>
                                </w:rPr>
                              </w:pPr>
                              <w:r>
                                <w:rPr>
                                  <w:rFonts w:ascii="Arial" w:hAnsi="Arial"/>
                                  <w:b w:val="1"/>
                                  <w:bCs w:val="1"/>
                                  <w:sz w:val="40"/>
                                  <w:szCs w:val="40"/>
                                  <w:rtl w:val="0"/>
                                  <w:lang w:val="fr-FR"/>
                                </w:rPr>
                                <w:t>Annex XX</w:t>
                              </w:r>
                            </w:p>
                            <w:p>
                              <w:pPr>
                                <w:pStyle w:val="Body A"/>
                                <w:jc w:val="center"/>
                                <w:rPr>
                                  <w:rFonts w:ascii="Arial" w:cs="Arial" w:hAnsi="Arial" w:eastAsia="Arial"/>
                                  <w:b w:val="1"/>
                                  <w:bCs w:val="1"/>
                                  <w:sz w:val="40"/>
                                  <w:szCs w:val="40"/>
                                </w:rPr>
                              </w:pPr>
                            </w:p>
                            <w:p>
                              <w:pPr>
                                <w:pStyle w:val="Body A"/>
                                <w:jc w:val="center"/>
                                <w:rPr>
                                  <w:rFonts w:ascii="Arial" w:cs="Arial" w:hAnsi="Arial" w:eastAsia="Arial"/>
                                  <w:b w:val="1"/>
                                  <w:bCs w:val="1"/>
                                  <w:sz w:val="40"/>
                                  <w:szCs w:val="40"/>
                                </w:rPr>
                              </w:pPr>
                              <w:r>
                                <w:rPr>
                                  <w:rFonts w:ascii="Arial" w:hAnsi="Arial"/>
                                  <w:b w:val="1"/>
                                  <w:bCs w:val="1"/>
                                  <w:sz w:val="40"/>
                                  <w:szCs w:val="40"/>
                                  <w:rtl w:val="0"/>
                                  <w:lang w:val="en-US"/>
                                </w:rPr>
                                <w:t xml:space="preserve">Decision Document on </w:t>
                              </w:r>
                            </w:p>
                            <w:p>
                              <w:pPr>
                                <w:pStyle w:val="Body A"/>
                                <w:jc w:val="center"/>
                                <w:rPr>
                                  <w:rFonts w:ascii="Arial" w:cs="Arial" w:hAnsi="Arial" w:eastAsia="Arial"/>
                                  <w:b w:val="1"/>
                                  <w:bCs w:val="1"/>
                                  <w:sz w:val="40"/>
                                  <w:szCs w:val="40"/>
                                </w:rPr>
                              </w:pPr>
                            </w:p>
                            <w:p>
                              <w:pPr>
                                <w:pStyle w:val="Body A"/>
                                <w:jc w:val="center"/>
                                <w:rPr>
                                  <w:rFonts w:ascii="Arial" w:cs="Arial" w:hAnsi="Arial" w:eastAsia="Arial"/>
                                  <w:b w:val="1"/>
                                  <w:bCs w:val="1"/>
                                  <w:sz w:val="40"/>
                                  <w:szCs w:val="40"/>
                                </w:rPr>
                              </w:pPr>
                              <w:r>
                                <w:rPr>
                                  <w:rFonts w:ascii="Arial" w:hAnsi="Arial"/>
                                  <w:b w:val="1"/>
                                  <w:bCs w:val="1"/>
                                  <w:sz w:val="40"/>
                                  <w:szCs w:val="40"/>
                                  <w:rtl w:val="0"/>
                                  <w:lang w:val="en-US"/>
                                </w:rPr>
                                <w:t>Seascapes Working Group</w:t>
                              </w:r>
                            </w:p>
                            <w:p>
                              <w:pPr>
                                <w:pStyle w:val="Body A"/>
                                <w:jc w:val="center"/>
                              </w:pPr>
                              <w:r>
                                <w:rPr>
                                  <w:rFonts w:ascii="Arial" w:hAnsi="Arial"/>
                                  <w:b w:val="1"/>
                                  <w:bCs w:val="1"/>
                                  <w:sz w:val="40"/>
                                  <w:szCs w:val="40"/>
                                  <w:rtl w:val="0"/>
                                  <w:lang w:val="en-US"/>
                                </w:rPr>
                                <w:t>___________________</w:t>
                              </w:r>
                            </w:p>
                          </w:txbxContent>
                        </wps:txbx>
                        <wps:bodyPr wrap="square" lIns="88900" tIns="88900" rIns="88900" bIns="88900" numCol="1" anchor="t">
                          <a:noAutofit/>
                        </wps:bodyPr>
                      </wps:wsp>
                    </wpg:wgp>
                  </a:graphicData>
                </a:graphic>
              </wp:anchor>
            </w:drawing>
          </mc:Choice>
          <mc:Fallback>
            <w:pict>
              <v:group id="_x0000_s1026" style="visibility:visible;position:absolute;margin-left:60.5pt;margin-top:261.2pt;width:484.6pt;height:214.4pt;z-index:251659264;mso-position-horizontal:absolute;mso-position-horizontal-relative:page;mso-position-vertical:absolute;mso-position-vertical-relative:page;mso-wrap-distance-left:4.5pt;mso-wrap-distance-top:4.5pt;mso-wrap-distance-right:4.5pt;mso-wrap-distance-bottom:4.5pt;" coordorigin="-1,-1" coordsize="6154428,2722254">
                <w10:wrap type="through" side="bothSides" anchorx="page" anchory="page"/>
                <v:rect id="_x0000_s1027" style="position:absolute;left:-1;top:-1;width:6154428;height:2722254;">
                  <v:fill on="f"/>
                  <v:stroke filltype="solid" color="#000000" opacity="100.0%" weight="3.0pt" dashstyle="solid" endcap="flat" joinstyle="round" linestyle="single" startarrow="none" startarrowwidth="medium" startarrowlength="medium" endarrow="none" endarrowwidth="medium" endarrowlength="medium"/>
                </v:rect>
                <v:shape id="_x0000_s1028" type="#_x0000_t202" style="position:absolute;left:-1;top:-1;width:6154428;height:2722254;">
                  <v:fill on="f"/>
                  <v:stroke on="f" weight="1.0pt" dashstyle="solid" endcap="flat" miterlimit="400.0%" joinstyle="miter" linestyle="single" startarrow="none" startarrowwidth="medium" startarrowlength="medium" endarrow="none" endarrowwidth="medium" endarrowlength="medium"/>
                  <v:textbox>
                    <w:txbxContent>
                      <w:p>
                        <w:pPr>
                          <w:pStyle w:val="Body A"/>
                          <w:rPr>
                            <w:rFonts w:ascii="Arial" w:cs="Arial" w:hAnsi="Arial" w:eastAsia="Arial"/>
                            <w:b w:val="1"/>
                            <w:bCs w:val="1"/>
                            <w:sz w:val="40"/>
                            <w:szCs w:val="40"/>
                          </w:rPr>
                        </w:pPr>
                      </w:p>
                      <w:p>
                        <w:pPr>
                          <w:pStyle w:val="Body A"/>
                          <w:jc w:val="center"/>
                          <w:rPr>
                            <w:rFonts w:ascii="Arial" w:cs="Arial" w:hAnsi="Arial" w:eastAsia="Arial"/>
                            <w:b w:val="1"/>
                            <w:bCs w:val="1"/>
                            <w:sz w:val="40"/>
                            <w:szCs w:val="40"/>
                            <w:lang w:val="fr-FR"/>
                          </w:rPr>
                        </w:pPr>
                        <w:r>
                          <w:rPr>
                            <w:rFonts w:ascii="Arial" w:hAnsi="Arial"/>
                            <w:b w:val="1"/>
                            <w:bCs w:val="1"/>
                            <w:sz w:val="40"/>
                            <w:szCs w:val="40"/>
                            <w:rtl w:val="0"/>
                            <w:lang w:val="fr-FR"/>
                          </w:rPr>
                          <w:t>Annex XX</w:t>
                        </w:r>
                      </w:p>
                      <w:p>
                        <w:pPr>
                          <w:pStyle w:val="Body A"/>
                          <w:jc w:val="center"/>
                          <w:rPr>
                            <w:rFonts w:ascii="Arial" w:cs="Arial" w:hAnsi="Arial" w:eastAsia="Arial"/>
                            <w:b w:val="1"/>
                            <w:bCs w:val="1"/>
                            <w:sz w:val="40"/>
                            <w:szCs w:val="40"/>
                          </w:rPr>
                        </w:pPr>
                      </w:p>
                      <w:p>
                        <w:pPr>
                          <w:pStyle w:val="Body A"/>
                          <w:jc w:val="center"/>
                          <w:rPr>
                            <w:rFonts w:ascii="Arial" w:cs="Arial" w:hAnsi="Arial" w:eastAsia="Arial"/>
                            <w:b w:val="1"/>
                            <w:bCs w:val="1"/>
                            <w:sz w:val="40"/>
                            <w:szCs w:val="40"/>
                          </w:rPr>
                        </w:pPr>
                        <w:r>
                          <w:rPr>
                            <w:rFonts w:ascii="Arial" w:hAnsi="Arial"/>
                            <w:b w:val="1"/>
                            <w:bCs w:val="1"/>
                            <w:sz w:val="40"/>
                            <w:szCs w:val="40"/>
                            <w:rtl w:val="0"/>
                            <w:lang w:val="en-US"/>
                          </w:rPr>
                          <w:t xml:space="preserve">Decision Document on </w:t>
                        </w:r>
                      </w:p>
                      <w:p>
                        <w:pPr>
                          <w:pStyle w:val="Body A"/>
                          <w:jc w:val="center"/>
                          <w:rPr>
                            <w:rFonts w:ascii="Arial" w:cs="Arial" w:hAnsi="Arial" w:eastAsia="Arial"/>
                            <w:b w:val="1"/>
                            <w:bCs w:val="1"/>
                            <w:sz w:val="40"/>
                            <w:szCs w:val="40"/>
                          </w:rPr>
                        </w:pPr>
                      </w:p>
                      <w:p>
                        <w:pPr>
                          <w:pStyle w:val="Body A"/>
                          <w:jc w:val="center"/>
                          <w:rPr>
                            <w:rFonts w:ascii="Arial" w:cs="Arial" w:hAnsi="Arial" w:eastAsia="Arial"/>
                            <w:b w:val="1"/>
                            <w:bCs w:val="1"/>
                            <w:sz w:val="40"/>
                            <w:szCs w:val="40"/>
                          </w:rPr>
                        </w:pPr>
                        <w:r>
                          <w:rPr>
                            <w:rFonts w:ascii="Arial" w:hAnsi="Arial"/>
                            <w:b w:val="1"/>
                            <w:bCs w:val="1"/>
                            <w:sz w:val="40"/>
                            <w:szCs w:val="40"/>
                            <w:rtl w:val="0"/>
                            <w:lang w:val="en-US"/>
                          </w:rPr>
                          <w:t>Seascapes Working Group</w:t>
                        </w:r>
                      </w:p>
                      <w:p>
                        <w:pPr>
                          <w:pStyle w:val="Body A"/>
                          <w:jc w:val="center"/>
                        </w:pPr>
                        <w:r>
                          <w:rPr>
                            <w:rFonts w:ascii="Arial" w:hAnsi="Arial"/>
                            <w:b w:val="1"/>
                            <w:bCs w:val="1"/>
                            <w:sz w:val="40"/>
                            <w:szCs w:val="40"/>
                            <w:rtl w:val="0"/>
                            <w:lang w:val="en-US"/>
                          </w:rPr>
                          <w:t>___________________</w:t>
                        </w:r>
                      </w:p>
                    </w:txbxContent>
                  </v:textbox>
                </v:shape>
              </v:group>
            </w:pict>
          </mc:Fallback>
        </mc:AlternateContent>
      </w:r>
    </w:p>
    <w:p>
      <w:pPr>
        <w:pStyle w:val="Body A"/>
      </w:pPr>
    </w:p>
    <w:p>
      <w:pPr>
        <w:pStyle w:val="Body A"/>
      </w:pPr>
    </w:p>
    <w:p>
      <w:pPr>
        <w:pStyle w:val="Body A"/>
        <w:jc w:val="center"/>
      </w:pPr>
    </w:p>
    <w:p>
      <w:pPr>
        <w:pStyle w:val="Body A"/>
        <w:jc w:val="center"/>
      </w:pPr>
    </w:p>
    <w:p>
      <w:pPr>
        <w:pStyle w:val="Body A"/>
        <w:jc w:val="center"/>
      </w:pPr>
    </w:p>
    <w:p>
      <w:pPr>
        <w:pStyle w:val="Body A"/>
        <w:jc w:val="center"/>
      </w:pPr>
      <w:r>
        <w:rPr>
          <w:rFonts w:ascii="Arial" w:hAnsi="Arial"/>
          <w:b w:val="1"/>
          <w:bCs w:val="1"/>
          <w:rtl w:val="0"/>
          <w:lang w:val="en-US"/>
        </w:rPr>
        <w:t>The 13</w:t>
      </w:r>
      <w:r>
        <w:rPr>
          <w:rFonts w:ascii="Arial" w:hAnsi="Arial"/>
          <w:b w:val="1"/>
          <w:bCs w:val="1"/>
          <w:vertAlign w:val="superscript"/>
          <w:rtl w:val="0"/>
          <w:lang w:val="en-US"/>
        </w:rPr>
        <w:t>th</w:t>
      </w:r>
      <w:r>
        <w:rPr>
          <w:rFonts w:ascii="Arial" w:hAnsi="Arial"/>
          <w:b w:val="1"/>
          <w:bCs w:val="1"/>
          <w:rtl w:val="0"/>
          <w:lang w:val="en-US"/>
        </w:rPr>
        <w:t xml:space="preserve"> CTI-CFF SENIOR OFFICIALS</w:t>
      </w:r>
      <w:r>
        <w:rPr>
          <w:rFonts w:ascii="Arial" w:hAnsi="Arial" w:hint="default"/>
          <w:b w:val="1"/>
          <w:bCs w:val="1"/>
          <w:rtl w:val="0"/>
          <w:lang w:val="en-US"/>
        </w:rPr>
        <w:t xml:space="preserve">’ </w:t>
      </w:r>
      <w:r>
        <w:rPr>
          <w:rFonts w:ascii="Arial" w:hAnsi="Arial"/>
          <w:b w:val="1"/>
          <w:bCs w:val="1"/>
          <w:rtl w:val="0"/>
          <w:lang w:val="en-US"/>
        </w:rPr>
        <w:t>MEETING (SOM-13)</w:t>
      </w:r>
    </w:p>
    <w:p>
      <w:pPr>
        <w:pStyle w:val="Body A"/>
        <w:jc w:val="center"/>
      </w:pPr>
    </w:p>
    <w:p>
      <w:pPr>
        <w:pStyle w:val="Body A"/>
        <w:jc w:val="center"/>
      </w:pPr>
      <w:r>
        <w:rPr>
          <w:rFonts w:ascii="Arial" w:hAnsi="Arial"/>
          <w:b w:val="1"/>
          <w:bCs w:val="1"/>
          <w:rtl w:val="0"/>
          <w:lang w:val="en-US"/>
        </w:rPr>
        <w:t>29-30 November 2017</w:t>
      </w:r>
    </w:p>
    <w:p>
      <w:pPr>
        <w:pStyle w:val="Body A"/>
        <w:jc w:val="center"/>
        <w:rPr>
          <w:lang w:val="it-IT"/>
        </w:rPr>
      </w:pPr>
      <w:r>
        <w:rPr>
          <w:rFonts w:ascii="Arial" w:hAnsi="Arial"/>
          <w:b w:val="1"/>
          <w:bCs w:val="1"/>
          <w:rtl w:val="0"/>
          <w:lang w:val="it-IT"/>
        </w:rPr>
        <w:t>Dusit Thani Hotel</w:t>
      </w:r>
    </w:p>
    <w:p>
      <w:pPr>
        <w:pStyle w:val="Body A"/>
        <w:jc w:val="center"/>
        <w:rPr>
          <w:lang w:val="it-IT"/>
        </w:rPr>
      </w:pPr>
      <w:r>
        <w:rPr>
          <w:rFonts w:ascii="Arial" w:hAnsi="Arial"/>
          <w:b w:val="1"/>
          <w:bCs w:val="1"/>
          <w:rtl w:val="0"/>
          <w:lang w:val="it-IT"/>
        </w:rPr>
        <w:t>Makati City, Philippines</w:t>
      </w:r>
    </w:p>
    <w:p>
      <w:pPr>
        <w:pStyle w:val="Body A"/>
      </w:pPr>
    </w:p>
    <w:p>
      <w:pPr>
        <w:pStyle w:val="Body A"/>
      </w:pPr>
    </w:p>
    <w:p>
      <w:pPr>
        <w:pStyle w:val="Body A"/>
      </w:pPr>
    </w:p>
    <w:p>
      <w:pPr>
        <w:pStyle w:val="Body A"/>
      </w:pPr>
    </w:p>
    <w:p>
      <w:pPr>
        <w:pStyle w:val="Default"/>
      </w:pPr>
    </w:p>
    <w:p>
      <w:pPr>
        <w:pStyle w:val="Default"/>
        <w:jc w:val="center"/>
      </w:pPr>
      <w:r>
        <w:rPr>
          <w:b w:val="1"/>
          <w:bCs w:val="1"/>
          <w:rtl w:val="0"/>
          <w:lang w:val="en-US"/>
        </w:rPr>
        <w:t>Adopted on X</w:t>
      </w:r>
      <w:r>
        <w:rPr>
          <w:b w:val="1"/>
          <w:bCs w:val="1"/>
          <w:vertAlign w:val="superscript"/>
          <w:rtl w:val="0"/>
          <w:lang w:val="en-US"/>
        </w:rPr>
        <w:t xml:space="preserve"> </w:t>
      </w:r>
      <w:r>
        <w:rPr>
          <w:b w:val="1"/>
          <w:bCs w:val="1"/>
          <w:rtl w:val="0"/>
          <w:lang w:val="en-US"/>
        </w:rPr>
        <w:t>November 2017</w:t>
      </w:r>
    </w:p>
    <w:p>
      <w:pPr>
        <w:pStyle w:val="Default"/>
        <w:jc w:val="center"/>
      </w:pPr>
      <w:r>
        <w:rPr>
          <w:b w:val="1"/>
          <w:bCs w:val="1"/>
          <w:rtl w:val="0"/>
          <w:lang w:val="en-US"/>
        </w:rPr>
        <w:t>by</w:t>
      </w:r>
    </w:p>
    <w:p>
      <w:pPr>
        <w:pStyle w:val="Body A"/>
        <w:jc w:val="center"/>
      </w:pPr>
      <w:r>
        <w:rPr>
          <w:rFonts w:ascii="Arial" w:hAnsi="Arial"/>
          <w:b w:val="1"/>
          <w:bCs w:val="1"/>
          <w:rtl w:val="0"/>
          <w:lang w:val="en-US"/>
        </w:rPr>
        <w:t>the Governments of Indonesia, Malaysia, Papua New Guinea,</w:t>
      </w:r>
    </w:p>
    <w:p>
      <w:pPr>
        <w:pStyle w:val="Body A"/>
        <w:jc w:val="center"/>
      </w:pPr>
      <w:r>
        <w:rPr>
          <w:rFonts w:ascii="Arial" w:hAnsi="Arial"/>
          <w:b w:val="1"/>
          <w:bCs w:val="1"/>
          <w:rtl w:val="0"/>
          <w:lang w:val="en-US"/>
        </w:rPr>
        <w:t xml:space="preserve">         the Philippines, Solomon Islands, and Timor-Leste</w:t>
      </w:r>
    </w:p>
    <w:p>
      <w:pPr>
        <w:pStyle w:val="Body A"/>
      </w:pPr>
    </w:p>
    <w:p>
      <w:pPr>
        <w:pStyle w:val="Body A"/>
      </w:pPr>
    </w:p>
    <w:p>
      <w:pPr>
        <w:pStyle w:val="Default"/>
        <w:spacing w:line="276" w:lineRule="auto"/>
        <w:jc w:val="center"/>
      </w:pPr>
      <w:r>
        <w:rPr>
          <w:b w:val="1"/>
          <w:bCs w:val="1"/>
          <w:rtl w:val="0"/>
          <w:lang w:val="en-US"/>
        </w:rPr>
        <w:t>I. Background</w:t>
      </w:r>
    </w:p>
    <w:p>
      <w:pPr>
        <w:pStyle w:val="Default"/>
        <w:spacing w:line="276" w:lineRule="auto"/>
        <w:jc w:val="both"/>
      </w:pPr>
    </w:p>
    <w:p>
      <w:pPr>
        <w:pStyle w:val="Default"/>
        <w:spacing w:line="288" w:lineRule="auto"/>
        <w:jc w:val="both"/>
      </w:pPr>
      <w:r>
        <w:rPr>
          <w:rtl w:val="0"/>
          <w:lang w:val="en-US"/>
        </w:rPr>
        <w:t xml:space="preserve">After years of conceptualizing and defining what seascapes is and after holding discussions, workshops, meetings and writeshops, the Seascapes Working Group has produced the final draft of the CTI-CFF Seascapes General Model and Regional Framework. The hardest part of the process was reflecting in the document the unique culture, traditional practices and beliefs of each country towards the management and utilization of the coastal and marine environment and the resources within. </w:t>
      </w:r>
    </w:p>
    <w:p>
      <w:pPr>
        <w:pStyle w:val="Default"/>
        <w:spacing w:line="288" w:lineRule="auto"/>
        <w:jc w:val="both"/>
      </w:pPr>
    </w:p>
    <w:p>
      <w:pPr>
        <w:pStyle w:val="Default"/>
        <w:spacing w:line="288" w:lineRule="auto"/>
        <w:jc w:val="both"/>
      </w:pPr>
      <w:r>
        <w:rPr>
          <w:rtl w:val="0"/>
          <w:lang w:val="en-US"/>
        </w:rPr>
        <w:t xml:space="preserve">Along with the formulation of the General Model and Framework, the working group has also drafted the Seascapes monitoring and evaluation indicators as well as the SWG Rules of Procedure. </w:t>
      </w:r>
    </w:p>
    <w:p>
      <w:pPr>
        <w:pStyle w:val="Default"/>
        <w:spacing w:line="288" w:lineRule="auto"/>
        <w:jc w:val="both"/>
      </w:pPr>
    </w:p>
    <w:p>
      <w:pPr>
        <w:pStyle w:val="Default"/>
        <w:spacing w:line="288" w:lineRule="auto"/>
        <w:jc w:val="both"/>
      </w:pPr>
    </w:p>
    <w:p>
      <w:pPr>
        <w:pStyle w:val="Default"/>
        <w:spacing w:line="288" w:lineRule="auto"/>
        <w:jc w:val="center"/>
      </w:pPr>
      <w:r>
        <w:rPr>
          <w:b w:val="1"/>
          <w:bCs w:val="1"/>
          <w:rtl w:val="0"/>
          <w:lang w:val="en-US"/>
        </w:rPr>
        <w:t>II. Decision</w:t>
      </w:r>
    </w:p>
    <w:p>
      <w:pPr>
        <w:pStyle w:val="Default"/>
        <w:spacing w:line="288" w:lineRule="auto"/>
        <w:jc w:val="both"/>
      </w:pPr>
    </w:p>
    <w:p>
      <w:pPr>
        <w:pStyle w:val="Body A"/>
        <w:spacing w:line="288" w:lineRule="auto"/>
        <w:jc w:val="both"/>
      </w:pPr>
      <w:r>
        <w:rPr>
          <w:rFonts w:ascii="Arial" w:hAnsi="Arial"/>
          <w:rtl w:val="0"/>
          <w:lang w:val="en-US"/>
        </w:rPr>
        <w:t xml:space="preserve">Based on the presentation by the WG and discussions during the session on </w:t>
      </w:r>
      <w:r>
        <w:rPr>
          <w:rFonts w:ascii="Arial" w:hAnsi="Arial"/>
          <w:i w:val="1"/>
          <w:iCs w:val="1"/>
          <w:rtl w:val="0"/>
          <w:lang w:val="en-US"/>
        </w:rPr>
        <w:t xml:space="preserve">Technical Working Group Reports - Seascapes </w:t>
      </w:r>
      <w:r>
        <w:rPr>
          <w:rFonts w:ascii="Arial" w:hAnsi="Arial"/>
          <w:rtl w:val="0"/>
          <w:lang w:val="en-US"/>
        </w:rPr>
        <w:t>at SOM12, the Senior Officials hereby:</w:t>
      </w:r>
    </w:p>
    <w:p>
      <w:pPr>
        <w:pStyle w:val="Body A"/>
        <w:spacing w:line="288" w:lineRule="auto"/>
        <w:jc w:val="both"/>
      </w:pPr>
      <w:r>
        <w:rPr>
          <w:rtl w:val="0"/>
          <w:lang w:val="en-US"/>
        </w:rPr>
        <w:t xml:space="preserve"> </w:t>
      </w:r>
    </w:p>
    <w:p>
      <w:pPr>
        <w:pStyle w:val="caption"/>
        <w:numPr>
          <w:ilvl w:val="1"/>
          <w:numId w:val="2"/>
        </w:numPr>
        <w:suppressAutoHyphens w:val="1"/>
        <w:bidi w:val="0"/>
        <w:spacing w:line="276" w:lineRule="auto"/>
        <w:ind w:right="0"/>
        <w:jc w:val="both"/>
        <w:outlineLvl w:val="0"/>
        <w:rPr>
          <w:rFonts w:ascii="Arial" w:cs="Arial" w:hAnsi="Arial" w:eastAsia="Arial"/>
          <w:b w:val="0"/>
          <w:bCs w:val="0"/>
          <w:sz w:val="24"/>
          <w:szCs w:val="24"/>
          <w:u w:color="000000"/>
          <w:rtl w:val="0"/>
          <w:lang w:val="en-US"/>
        </w:rPr>
      </w:pPr>
      <w:r>
        <w:rPr>
          <w:rFonts w:ascii="Arial" w:hAnsi="Arial"/>
          <w:b w:val="0"/>
          <w:bCs w:val="0"/>
          <w:caps w:val="0"/>
          <w:smallCaps w:val="0"/>
          <w:sz w:val="24"/>
          <w:szCs w:val="24"/>
          <w:u w:color="000000"/>
          <w:rtl w:val="0"/>
          <w:lang w:val="en-US"/>
        </w:rPr>
        <w:t>Adopt the CTI-CFF Seascapes General Model and Regional Framework for Priority Seascapes which contains Seascapes Monitoring and Evaluation Indicators;</w:t>
      </w:r>
    </w:p>
    <w:p>
      <w:pPr>
        <w:pStyle w:val="caption"/>
        <w:tabs>
          <w:tab w:val="left" w:pos="785"/>
          <w:tab w:val="left" w:pos="1440"/>
          <w:tab w:val="left" w:pos="2880"/>
          <w:tab w:val="left" w:pos="4320"/>
          <w:tab w:val="left" w:pos="5760"/>
          <w:tab w:val="left" w:pos="7200"/>
          <w:tab w:val="left" w:pos="8048"/>
        </w:tabs>
        <w:suppressAutoHyphens w:val="1"/>
        <w:spacing w:line="276" w:lineRule="auto"/>
        <w:ind w:left="25" w:hanging="25"/>
        <w:jc w:val="both"/>
        <w:outlineLvl w:val="0"/>
      </w:pPr>
    </w:p>
    <w:p>
      <w:pPr>
        <w:pStyle w:val="caption"/>
        <w:numPr>
          <w:ilvl w:val="1"/>
          <w:numId w:val="2"/>
        </w:numPr>
        <w:suppressAutoHyphens w:val="1"/>
        <w:bidi w:val="0"/>
        <w:spacing w:line="276" w:lineRule="auto"/>
        <w:ind w:right="0"/>
        <w:jc w:val="both"/>
        <w:outlineLvl w:val="0"/>
        <w:rPr>
          <w:rFonts w:ascii="Arial" w:cs="Arial" w:hAnsi="Arial" w:eastAsia="Arial"/>
          <w:b w:val="0"/>
          <w:bCs w:val="0"/>
          <w:sz w:val="24"/>
          <w:szCs w:val="24"/>
          <w:u w:color="000000"/>
          <w:rtl w:val="0"/>
          <w:lang w:val="en-US"/>
        </w:rPr>
      </w:pPr>
      <w:r>
        <w:rPr>
          <w:rFonts w:ascii="Arial" w:hAnsi="Arial"/>
          <w:b w:val="0"/>
          <w:bCs w:val="0"/>
          <w:caps w:val="0"/>
          <w:smallCaps w:val="0"/>
          <w:sz w:val="24"/>
          <w:szCs w:val="24"/>
          <w:u w:color="000000"/>
          <w:rtl w:val="0"/>
          <w:lang w:val="en-US"/>
        </w:rPr>
        <w:t>Task the SWG to facilitate the socialization of the General Model and Regional Framework in each member state for adoption;</w:t>
      </w:r>
    </w:p>
    <w:p>
      <w:pPr>
        <w:pStyle w:val="caption"/>
        <w:tabs>
          <w:tab w:val="left" w:pos="785"/>
          <w:tab w:val="left" w:pos="1440"/>
          <w:tab w:val="left" w:pos="2880"/>
          <w:tab w:val="left" w:pos="4320"/>
          <w:tab w:val="left" w:pos="5760"/>
          <w:tab w:val="left" w:pos="7200"/>
          <w:tab w:val="left" w:pos="8048"/>
        </w:tabs>
        <w:suppressAutoHyphens w:val="1"/>
        <w:spacing w:line="276" w:lineRule="auto"/>
        <w:ind w:left="25" w:hanging="25"/>
        <w:jc w:val="both"/>
        <w:outlineLvl w:val="0"/>
      </w:pPr>
    </w:p>
    <w:p>
      <w:pPr>
        <w:pStyle w:val="caption"/>
        <w:numPr>
          <w:ilvl w:val="1"/>
          <w:numId w:val="2"/>
        </w:numPr>
        <w:suppressAutoHyphens w:val="1"/>
        <w:bidi w:val="0"/>
        <w:spacing w:line="276" w:lineRule="auto"/>
        <w:ind w:right="0"/>
        <w:jc w:val="both"/>
        <w:outlineLvl w:val="0"/>
        <w:rPr>
          <w:rFonts w:ascii="Arial" w:cs="Arial" w:hAnsi="Arial" w:eastAsia="Arial"/>
          <w:b w:val="0"/>
          <w:bCs w:val="0"/>
          <w:sz w:val="24"/>
          <w:szCs w:val="24"/>
          <w:u w:color="000000"/>
          <w:rtl w:val="0"/>
          <w:lang w:val="en-US"/>
        </w:rPr>
      </w:pPr>
      <w:r>
        <w:rPr>
          <w:rFonts w:ascii="Arial" w:hAnsi="Arial"/>
          <w:b w:val="0"/>
          <w:bCs w:val="0"/>
          <w:caps w:val="0"/>
          <w:smallCaps w:val="0"/>
          <w:sz w:val="24"/>
          <w:szCs w:val="24"/>
          <w:u w:color="000000"/>
          <w:rtl w:val="0"/>
          <w:lang w:val="en-US"/>
        </w:rPr>
        <w:t>Support the recommendation for each member state to begin talks/meetings that will lead towards the establishment of national and transboundary seascapes;</w:t>
      </w:r>
    </w:p>
    <w:p>
      <w:pPr>
        <w:pStyle w:val="caption"/>
        <w:tabs>
          <w:tab w:val="left" w:pos="785"/>
          <w:tab w:val="left" w:pos="1440"/>
          <w:tab w:val="left" w:pos="2880"/>
          <w:tab w:val="left" w:pos="4320"/>
          <w:tab w:val="left" w:pos="5760"/>
          <w:tab w:val="left" w:pos="7200"/>
          <w:tab w:val="left" w:pos="8048"/>
        </w:tabs>
        <w:suppressAutoHyphens w:val="1"/>
        <w:spacing w:line="276" w:lineRule="auto"/>
        <w:ind w:left="25" w:hanging="25"/>
        <w:outlineLvl w:val="0"/>
      </w:pPr>
    </w:p>
    <w:p>
      <w:pPr>
        <w:pStyle w:val="caption"/>
        <w:numPr>
          <w:ilvl w:val="1"/>
          <w:numId w:val="2"/>
        </w:numPr>
        <w:suppressAutoHyphens w:val="1"/>
        <w:bidi w:val="0"/>
        <w:spacing w:line="276" w:lineRule="auto"/>
        <w:ind w:right="0"/>
        <w:jc w:val="both"/>
        <w:outlineLvl w:val="0"/>
        <w:rPr>
          <w:rFonts w:ascii="Arial" w:cs="Arial" w:hAnsi="Arial" w:eastAsia="Arial"/>
          <w:b w:val="0"/>
          <w:bCs w:val="0"/>
          <w:caps w:val="0"/>
          <w:smallCaps w:val="0"/>
          <w:sz w:val="24"/>
          <w:szCs w:val="24"/>
          <w:u w:color="000000"/>
          <w:rtl w:val="0"/>
          <w:lang w:val="en-US"/>
        </w:rPr>
      </w:pPr>
      <w:r>
        <w:rPr>
          <w:rFonts w:ascii="Arial" w:hAnsi="Arial"/>
          <w:b w:val="0"/>
          <w:bCs w:val="0"/>
          <w:caps w:val="0"/>
          <w:smallCaps w:val="0"/>
          <w:sz w:val="24"/>
          <w:szCs w:val="24"/>
          <w:u w:color="000000"/>
          <w:rtl w:val="0"/>
          <w:lang w:val="en-US"/>
        </w:rPr>
        <w:t>Task the Seascapes Working Group to finalize the Updated Rules and Procedure in time for SOM14;</w:t>
      </w:r>
    </w:p>
    <w:p>
      <w:pPr>
        <w:pStyle w:val="caption"/>
        <w:tabs>
          <w:tab w:val="left" w:pos="785"/>
          <w:tab w:val="left" w:pos="1440"/>
          <w:tab w:val="left" w:pos="2880"/>
          <w:tab w:val="left" w:pos="4320"/>
          <w:tab w:val="left" w:pos="5760"/>
          <w:tab w:val="left" w:pos="7200"/>
          <w:tab w:val="left" w:pos="8048"/>
        </w:tabs>
        <w:suppressAutoHyphens w:val="1"/>
        <w:spacing w:line="276" w:lineRule="auto"/>
        <w:ind w:left="25" w:hanging="25"/>
        <w:jc w:val="both"/>
        <w:outlineLvl w:val="0"/>
        <w:rPr>
          <w:rFonts w:ascii="Arial" w:cs="Arial" w:hAnsi="Arial" w:eastAsia="Arial"/>
          <w:b w:val="0"/>
          <w:bCs w:val="0"/>
          <w:caps w:val="0"/>
          <w:smallCaps w:val="0"/>
          <w:sz w:val="24"/>
          <w:szCs w:val="24"/>
          <w:u w:color="000000"/>
        </w:rPr>
      </w:pPr>
    </w:p>
    <w:p>
      <w:pPr>
        <w:pStyle w:val="caption"/>
        <w:numPr>
          <w:ilvl w:val="1"/>
          <w:numId w:val="2"/>
        </w:numPr>
        <w:suppressAutoHyphens w:val="1"/>
        <w:bidi w:val="0"/>
        <w:spacing w:line="276" w:lineRule="auto"/>
        <w:ind w:right="0"/>
        <w:jc w:val="both"/>
        <w:outlineLvl w:val="0"/>
        <w:rPr>
          <w:rFonts w:ascii="Arial" w:cs="Arial" w:hAnsi="Arial" w:eastAsia="Arial"/>
          <w:b w:val="0"/>
          <w:bCs w:val="0"/>
          <w:sz w:val="24"/>
          <w:szCs w:val="24"/>
          <w:u w:color="000000"/>
          <w:rtl w:val="0"/>
          <w:lang w:val="en-US"/>
        </w:rPr>
      </w:pPr>
      <w:r>
        <w:rPr>
          <w:rFonts w:ascii="Arial" w:hAnsi="Arial"/>
          <w:b w:val="0"/>
          <w:bCs w:val="0"/>
          <w:caps w:val="0"/>
          <w:smallCaps w:val="0"/>
          <w:sz w:val="24"/>
          <w:szCs w:val="24"/>
          <w:u w:color="000000"/>
          <w:rtl w:val="0"/>
          <w:lang w:val="en-US"/>
        </w:rPr>
        <w:t>Agree to endorse the recommendation of the WG to turnover the TWG Chairmanship from Indonesia to _________________; and,</w:t>
      </w:r>
    </w:p>
    <w:p>
      <w:pPr>
        <w:pStyle w:val="caption"/>
        <w:tabs>
          <w:tab w:val="left" w:pos="785"/>
          <w:tab w:val="left" w:pos="1440"/>
          <w:tab w:val="left" w:pos="2880"/>
          <w:tab w:val="left" w:pos="4320"/>
          <w:tab w:val="left" w:pos="5760"/>
          <w:tab w:val="left" w:pos="7200"/>
          <w:tab w:val="left" w:pos="8048"/>
        </w:tabs>
        <w:suppressAutoHyphens w:val="1"/>
        <w:spacing w:line="276" w:lineRule="auto"/>
        <w:ind w:left="25" w:hanging="25"/>
        <w:jc w:val="both"/>
        <w:outlineLvl w:val="0"/>
      </w:pPr>
    </w:p>
    <w:p>
      <w:pPr>
        <w:pStyle w:val="caption"/>
        <w:numPr>
          <w:ilvl w:val="1"/>
          <w:numId w:val="2"/>
        </w:numPr>
        <w:suppressAutoHyphens w:val="1"/>
        <w:bidi w:val="0"/>
        <w:spacing w:line="276" w:lineRule="auto"/>
        <w:ind w:right="0"/>
        <w:jc w:val="both"/>
        <w:outlineLvl w:val="0"/>
        <w:rPr>
          <w:rFonts w:ascii="Arial" w:cs="Arial" w:hAnsi="Arial" w:eastAsia="Arial"/>
          <w:b w:val="0"/>
          <w:bCs w:val="0"/>
          <w:sz w:val="24"/>
          <w:szCs w:val="24"/>
          <w:u w:color="000000"/>
          <w:rtl w:val="0"/>
          <w:lang w:val="en-US"/>
        </w:rPr>
      </w:pPr>
      <w:r>
        <w:rPr>
          <w:rFonts w:ascii="Arial" w:hAnsi="Arial"/>
          <w:b w:val="0"/>
          <w:bCs w:val="0"/>
          <w:caps w:val="0"/>
          <w:smallCaps w:val="0"/>
          <w:sz w:val="24"/>
          <w:szCs w:val="24"/>
          <w:u w:color="000000"/>
          <w:rtl w:val="0"/>
          <w:lang w:val="en-US"/>
        </w:rPr>
        <w:t>Approved the 2018 SWG Work Plan.</w:t>
      </w:r>
    </w:p>
    <w:p>
      <w:pPr>
        <w:pStyle w:val="Body A"/>
        <w:spacing w:line="288" w:lineRule="auto"/>
        <w:jc w:val="both"/>
        <w:rPr>
          <w:u w:color="000000"/>
        </w:rPr>
      </w:pPr>
    </w:p>
    <w:p>
      <w:pPr>
        <w:pStyle w:val="Body A"/>
        <w:spacing w:line="288" w:lineRule="auto"/>
        <w:jc w:val="both"/>
      </w:pPr>
    </w:p>
    <w:p>
      <w:pPr>
        <w:pStyle w:val="Body A"/>
        <w:spacing w:line="288" w:lineRule="auto"/>
        <w:jc w:val="both"/>
      </w:pPr>
      <w:r>
        <w:rPr>
          <w:rFonts w:ascii="Arial" w:hAnsi="Arial"/>
          <w:b w:val="1"/>
          <w:bCs w:val="1"/>
          <w:rtl w:val="0"/>
          <w:lang w:val="en-US"/>
        </w:rPr>
        <w:t>Attachments:</w:t>
      </w:r>
    </w:p>
    <w:p>
      <w:pPr>
        <w:pStyle w:val="Body A"/>
        <w:spacing w:line="288" w:lineRule="auto"/>
        <w:jc w:val="both"/>
      </w:pPr>
    </w:p>
    <w:p>
      <w:pPr>
        <w:pStyle w:val="Body A"/>
        <w:numPr>
          <w:ilvl w:val="0"/>
          <w:numId w:val="4"/>
        </w:numPr>
        <w:bidi w:val="0"/>
        <w:spacing w:line="288" w:lineRule="auto"/>
        <w:ind w:right="0"/>
        <w:jc w:val="both"/>
        <w:rPr>
          <w:rFonts w:ascii="Arial" w:cs="Arial" w:hAnsi="Arial" w:eastAsia="Arial"/>
          <w:rtl w:val="0"/>
          <w:lang w:val="en-US"/>
        </w:rPr>
      </w:pPr>
      <w:r>
        <w:rPr>
          <w:rFonts w:ascii="Arial" w:hAnsi="Arial"/>
          <w:rtl w:val="0"/>
          <w:lang w:val="en-US"/>
        </w:rPr>
        <w:t>Seascapes Working Group Report for SOM13</w:t>
      </w:r>
    </w:p>
    <w:p>
      <w:pPr>
        <w:pStyle w:val="Body A"/>
        <w:numPr>
          <w:ilvl w:val="0"/>
          <w:numId w:val="4"/>
        </w:numPr>
        <w:bidi w:val="0"/>
        <w:spacing w:line="288" w:lineRule="auto"/>
        <w:ind w:right="0"/>
        <w:jc w:val="left"/>
        <w:rPr>
          <w:rFonts w:ascii="Arial" w:cs="Arial" w:hAnsi="Arial" w:eastAsia="Arial"/>
          <w:rtl w:val="0"/>
          <w:lang w:val="en-US"/>
        </w:rPr>
      </w:pPr>
      <w:r>
        <w:rPr>
          <w:rFonts w:ascii="Arial" w:hAnsi="Arial"/>
          <w:rtl w:val="0"/>
          <w:lang w:val="en-US"/>
        </w:rPr>
        <w:t>CTI Seascapes General Model and Regional Framework</w:t>
      </w: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pPr>
    </w:p>
    <w:p>
      <w:pPr>
        <w:pStyle w:val="Body B"/>
        <w:tabs>
          <w:tab w:val="left" w:pos="2860"/>
        </w:tabs>
      </w:pPr>
      <w:r>
        <w:tab/>
      </w:r>
    </w:p>
    <w:sectPr>
      <w:headerReference w:type="default" r:id="rId5"/>
      <w:footerReference w:type="default" r:id="rId6"/>
      <w:pgSz w:w="11900" w:h="16840" w:orient="portrait"/>
      <w:pgMar w:top="1440" w:right="1552" w:bottom="1440" w:left="180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mbria">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footer"/>
      <w:tabs>
        <w:tab w:val="right" w:pos="8528"/>
        <w:tab w:val="clear" w:pos="8640"/>
      </w:tabs>
    </w:pPr>
    <w:r>
      <w:rPr>
        <w:rFonts w:ascii="Arial" w:hAnsi="Arial"/>
        <w:sz w:val="20"/>
        <w:szCs w:val="20"/>
        <w:rtl w:val="0"/>
        <w:lang w:val="en-US"/>
      </w:rPr>
      <w:t>The 13</w:t>
    </w:r>
    <w:r>
      <w:rPr>
        <w:rFonts w:ascii="Arial" w:hAnsi="Arial"/>
        <w:sz w:val="20"/>
        <w:szCs w:val="20"/>
        <w:vertAlign w:val="superscript"/>
        <w:rtl w:val="0"/>
        <w:lang w:val="en-US"/>
      </w:rPr>
      <w:t>th</w:t>
    </w:r>
    <w:r>
      <w:rPr>
        <w:rFonts w:ascii="Arial" w:hAnsi="Arial"/>
        <w:sz w:val="20"/>
        <w:szCs w:val="20"/>
        <w:rtl w:val="0"/>
        <w:lang w:val="en-US"/>
      </w:rPr>
      <w:t xml:space="preserve"> CTI-CFF Senior Official Meeting </w:t>
      <w:tab/>
      <w:tab/>
    </w:r>
    <w:r>
      <w:rPr>
        <w:rFonts w:ascii="Arial" w:cs="Arial" w:hAnsi="Arial" w:eastAsia="Arial"/>
        <w:sz w:val="20"/>
        <w:szCs w:val="20"/>
        <w:rtl w:val="0"/>
      </w:rPr>
      <w:fldChar w:fldCharType="begin" w:fldLock="0"/>
    </w:r>
    <w:r>
      <w:rPr>
        <w:rFonts w:ascii="Arial" w:cs="Arial" w:hAnsi="Arial" w:eastAsia="Arial"/>
        <w:sz w:val="20"/>
        <w:szCs w:val="20"/>
        <w:rtl w:val="0"/>
      </w:rPr>
      <w:instrText xml:space="preserve"> PAGE </w:instrText>
    </w:r>
    <w:r>
      <w:rPr>
        <w:rFonts w:ascii="Arial" w:cs="Arial" w:hAnsi="Arial" w:eastAsia="Arial"/>
        <w:sz w:val="20"/>
        <w:szCs w:val="20"/>
        <w:rtl w:val="0"/>
      </w:rPr>
      <w:fldChar w:fldCharType="separate" w:fldLock="0"/>
    </w:r>
    <w:r>
      <w:rPr>
        <w:rFonts w:ascii="Arial" w:cs="Arial" w:hAnsi="Arial" w:eastAsia="Arial"/>
        <w:sz w:val="20"/>
        <w:szCs w:val="20"/>
        <w:rtl w:val="0"/>
      </w:rPr>
      <w:t>1</w:t>
    </w:r>
    <w:r>
      <w:rPr>
        <w:rFonts w:ascii="Arial" w:cs="Arial" w:hAnsi="Arial" w:eastAsia="Arial"/>
        <w:sz w:val="20"/>
        <w:szCs w:val="20"/>
        <w:rtl w:val="0"/>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tabs>
          <w:tab w:val="num" w:pos="253"/>
          <w:tab w:val="left" w:pos="785"/>
          <w:tab w:val="left" w:pos="1150"/>
          <w:tab w:val="left" w:pos="1440"/>
          <w:tab w:val="left" w:pos="2880"/>
          <w:tab w:val="left" w:pos="4320"/>
          <w:tab w:val="left" w:pos="5760"/>
          <w:tab w:val="left" w:pos="7200"/>
          <w:tab w:val="left" w:pos="8048"/>
        </w:tabs>
        <w:ind w:left="278" w:hanging="278"/>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tabs>
          <w:tab w:val="num" w:pos="785"/>
          <w:tab w:val="left" w:pos="1150"/>
          <w:tab w:val="left" w:pos="1440"/>
          <w:tab w:val="left" w:pos="2880"/>
          <w:tab w:val="left" w:pos="4320"/>
          <w:tab w:val="left" w:pos="5760"/>
          <w:tab w:val="left" w:pos="7200"/>
          <w:tab w:val="left" w:pos="8048"/>
        </w:tabs>
        <w:ind w:left="810" w:hanging="450"/>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tabs>
          <w:tab w:val="left" w:pos="785"/>
          <w:tab w:val="num" w:pos="1145"/>
          <w:tab w:val="left" w:pos="1150"/>
          <w:tab w:val="left" w:pos="1440"/>
          <w:tab w:val="left" w:pos="2880"/>
          <w:tab w:val="left" w:pos="4320"/>
          <w:tab w:val="left" w:pos="5760"/>
          <w:tab w:val="left" w:pos="7200"/>
          <w:tab w:val="left" w:pos="8048"/>
        </w:tabs>
        <w:ind w:left="1170" w:hanging="450"/>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tabs>
          <w:tab w:val="left" w:pos="785"/>
          <w:tab w:val="left" w:pos="1150"/>
          <w:tab w:val="num" w:pos="1505"/>
          <w:tab w:val="left" w:pos="2880"/>
          <w:tab w:val="left" w:pos="4320"/>
          <w:tab w:val="left" w:pos="5760"/>
          <w:tab w:val="left" w:pos="7200"/>
          <w:tab w:val="left" w:pos="8048"/>
        </w:tabs>
        <w:ind w:left="1530" w:hanging="450"/>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tabs>
          <w:tab w:val="left" w:pos="785"/>
          <w:tab w:val="left" w:pos="1150"/>
          <w:tab w:val="left" w:pos="1440"/>
          <w:tab w:val="num" w:pos="1865"/>
          <w:tab w:val="left" w:pos="2880"/>
          <w:tab w:val="left" w:pos="4320"/>
          <w:tab w:val="left" w:pos="5760"/>
          <w:tab w:val="left" w:pos="7200"/>
          <w:tab w:val="left" w:pos="8048"/>
        </w:tabs>
        <w:ind w:left="1890" w:hanging="45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tabs>
          <w:tab w:val="left" w:pos="785"/>
          <w:tab w:val="left" w:pos="1150"/>
          <w:tab w:val="left" w:pos="1440"/>
          <w:tab w:val="num" w:pos="2225"/>
          <w:tab w:val="left" w:pos="2880"/>
          <w:tab w:val="left" w:pos="4320"/>
          <w:tab w:val="left" w:pos="5760"/>
          <w:tab w:val="left" w:pos="7200"/>
          <w:tab w:val="left" w:pos="8048"/>
        </w:tabs>
        <w:ind w:left="2250" w:hanging="45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tabs>
          <w:tab w:val="left" w:pos="785"/>
          <w:tab w:val="left" w:pos="1150"/>
          <w:tab w:val="left" w:pos="1440"/>
          <w:tab w:val="num" w:pos="2585"/>
          <w:tab w:val="left" w:pos="2880"/>
          <w:tab w:val="left" w:pos="4320"/>
          <w:tab w:val="left" w:pos="5760"/>
          <w:tab w:val="left" w:pos="7200"/>
          <w:tab w:val="left" w:pos="8048"/>
        </w:tabs>
        <w:ind w:left="2610" w:hanging="45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tabs>
          <w:tab w:val="left" w:pos="785"/>
          <w:tab w:val="left" w:pos="1150"/>
          <w:tab w:val="left" w:pos="1440"/>
          <w:tab w:val="num" w:pos="2945"/>
          <w:tab w:val="left" w:pos="4320"/>
          <w:tab w:val="left" w:pos="5760"/>
          <w:tab w:val="left" w:pos="7200"/>
          <w:tab w:val="left" w:pos="8048"/>
        </w:tabs>
        <w:ind w:left="2970" w:hanging="45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tabs>
          <w:tab w:val="left" w:pos="785"/>
          <w:tab w:val="left" w:pos="1150"/>
          <w:tab w:val="left" w:pos="1440"/>
          <w:tab w:val="left" w:pos="2880"/>
          <w:tab w:val="num" w:pos="3305"/>
          <w:tab w:val="left" w:pos="4320"/>
          <w:tab w:val="left" w:pos="5760"/>
          <w:tab w:val="left" w:pos="7200"/>
          <w:tab w:val="left" w:pos="8048"/>
        </w:tabs>
        <w:ind w:left="3330" w:hanging="45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Numbered.0"/>
  </w:abstractNum>
  <w:abstractNum w:abstractNumId="3">
    <w:multiLevelType w:val="hybridMultilevel"/>
    <w:styleLink w:val="Numbered.0"/>
    <w:lvl w:ilvl="0">
      <w:start w:val="1"/>
      <w:numFmt w:val="decimal"/>
      <w:suff w:val="tab"/>
      <w:lvlText w:val="%1."/>
      <w:lvlJc w:val="left"/>
      <w:pPr>
        <w:ind w:left="253" w:hanging="253"/>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53" w:hanging="253"/>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53" w:hanging="253"/>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53" w:hanging="253"/>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53" w:hanging="253"/>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1"/>
      <w:shd w:val="clear" w:color="auto" w:fill="auto"/>
      <w:tabs>
        <w:tab w:val="center" w:pos="4320"/>
        <w:tab w:val="right" w:pos="8640"/>
      </w:tabs>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Arial" w:cs="Arial" w:hAnsi="Arial" w:eastAsia="Arial"/>
      <w:b w:val="0"/>
      <w:bCs w:val="0"/>
      <w:i w:val="0"/>
      <w:iCs w:val="0"/>
      <w:caps w:val="0"/>
      <w:smallCaps w:val="0"/>
      <w:strike w:val="0"/>
      <w:dstrike w:val="0"/>
      <w:outline w:val="0"/>
      <w:color w:val="000000"/>
      <w:spacing w:val="0"/>
      <w:kern w:val="0"/>
      <w:position w:val="0"/>
      <w:sz w:val="24"/>
      <w:szCs w:val="24"/>
      <w:u w:val="none" w:color="000000"/>
      <w:vertAlign w:val="baseline"/>
    </w:rPr>
  </w:style>
  <w:style w:type="paragraph" w:styleId="caption">
    <w:name w:val="caption"/>
    <w:next w:val="caption"/>
    <w:pPr>
      <w:keepNext w:val="0"/>
      <w:keepLines w:val="0"/>
      <w:pageBreakBefore w:val="0"/>
      <w:widowControl w:val="1"/>
      <w:shd w:val="clear" w:color="auto" w:fill="auto"/>
      <w:tabs>
        <w:tab w:val="left" w:pos="1150"/>
      </w:tabs>
      <w:suppressAutoHyphens w:val="0"/>
      <w:bidi w:val="0"/>
      <w:spacing w:before="0" w:after="0" w:line="240" w:lineRule="auto"/>
      <w:ind w:left="0" w:right="0" w:firstLine="0"/>
      <w:jc w:val="left"/>
      <w:outlineLvl w:val="9"/>
    </w:pPr>
    <w:rPr>
      <w:rFonts w:ascii="Helvetica" w:cs="Arial Unicode MS" w:hAnsi="Helvetica" w:eastAsia="Arial Unicode MS"/>
      <w:b w:val="1"/>
      <w:bCs w:val="1"/>
      <w:i w:val="0"/>
      <w:iCs w:val="0"/>
      <w:caps w:val="1"/>
      <w:strike w:val="0"/>
      <w:dstrike w:val="0"/>
      <w:outline w:val="0"/>
      <w:color w:val="000000"/>
      <w:spacing w:val="0"/>
      <w:kern w:val="0"/>
      <w:position w:val="0"/>
      <w:sz w:val="20"/>
      <w:szCs w:val="20"/>
      <w:u w:val="none" w:color="000000"/>
      <w:vertAlign w:val="baseline"/>
      <w:lang w:val="en-US"/>
    </w:rPr>
  </w:style>
  <w:style w:type="numbering" w:styleId="Numbered">
    <w:name w:val="Numbered"/>
    <w:pPr>
      <w:numPr>
        <w:numId w:val="1"/>
      </w:numPr>
    </w:pPr>
  </w:style>
  <w:style w:type="numbering" w:styleId="Numbered.0">
    <w:name w:val="Numbered.0"/>
    <w:pPr>
      <w:numPr>
        <w:numId w:val="3"/>
      </w:numPr>
    </w:pPr>
  </w:style>
  <w:style w:type="paragraph" w:styleId="Body B">
    <w:name w:val="Body B"/>
    <w:next w:val="Body B"/>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