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97B" w:rsidRDefault="0088239A">
      <w:pPr>
        <w:pStyle w:val="BodyA"/>
      </w:pPr>
      <w:r>
        <w:rPr>
          <w:rFonts w:ascii="Arial" w:eastAsia="Arial" w:hAnsi="Arial" w:cs="Arial"/>
          <w:noProof/>
        </w:rPr>
        <w:drawing>
          <wp:anchor distT="57150" distB="57150" distL="57150" distR="57150" simplePos="0" relativeHeight="251660288" behindDoc="0" locked="0" layoutInCell="1" allowOverlap="1">
            <wp:simplePos x="0" y="0"/>
            <wp:positionH relativeFrom="column">
              <wp:posOffset>0</wp:posOffset>
            </wp:positionH>
            <wp:positionV relativeFrom="line">
              <wp:posOffset>149859</wp:posOffset>
            </wp:positionV>
            <wp:extent cx="5553075" cy="1438275"/>
            <wp:effectExtent l="0" t="0" r="0" b="0"/>
            <wp:wrapTopAndBottom distT="57150" distB="57150"/>
            <wp:docPr id="1073741825" name="officeArt object" descr="logo cti copy.jpg"/>
            <wp:cNvGraphicFramePr/>
            <a:graphic xmlns:a="http://schemas.openxmlformats.org/drawingml/2006/main">
              <a:graphicData uri="http://schemas.openxmlformats.org/drawingml/2006/picture">
                <pic:pic xmlns:pic="http://schemas.openxmlformats.org/drawingml/2006/picture">
                  <pic:nvPicPr>
                    <pic:cNvPr id="1073741825" name="logo cti copy.jpg" descr="logo cti copy.jpg"/>
                    <pic:cNvPicPr>
                      <a:picLocks noChangeAspect="1"/>
                    </pic:cNvPicPr>
                  </pic:nvPicPr>
                  <pic:blipFill>
                    <a:blip r:embed="rId8">
                      <a:extLst/>
                    </a:blip>
                    <a:stretch>
                      <a:fillRect/>
                    </a:stretch>
                  </pic:blipFill>
                  <pic:spPr>
                    <a:xfrm>
                      <a:off x="0" y="0"/>
                      <a:ext cx="5553075" cy="1438275"/>
                    </a:xfrm>
                    <a:prstGeom prst="rect">
                      <a:avLst/>
                    </a:prstGeom>
                    <a:ln w="12700" cap="flat">
                      <a:noFill/>
                      <a:miter lim="400000"/>
                    </a:ln>
                    <a:effectLst/>
                  </pic:spPr>
                </pic:pic>
              </a:graphicData>
            </a:graphic>
          </wp:anchor>
        </w:drawing>
      </w:r>
    </w:p>
    <w:p w:rsidR="0056597B" w:rsidRDefault="0056597B">
      <w:pPr>
        <w:pStyle w:val="BodyA"/>
      </w:pPr>
    </w:p>
    <w:p w:rsidR="0056597B" w:rsidRDefault="0088239A">
      <w:pPr>
        <w:pStyle w:val="BodyA"/>
      </w:pPr>
      <w:r>
        <w:rPr>
          <w:rFonts w:ascii="Arial" w:eastAsia="Arial" w:hAnsi="Arial" w:cs="Arial"/>
          <w:noProof/>
        </w:rPr>
        <mc:AlternateContent>
          <mc:Choice Requires="wpg">
            <w:drawing>
              <wp:anchor distT="57150" distB="57150" distL="57150" distR="57150" simplePos="0" relativeHeight="251659264" behindDoc="0" locked="0" layoutInCell="1" allowOverlap="1">
                <wp:simplePos x="0" y="0"/>
                <wp:positionH relativeFrom="page">
                  <wp:posOffset>768983</wp:posOffset>
                </wp:positionH>
                <wp:positionV relativeFrom="page">
                  <wp:posOffset>3317240</wp:posOffset>
                </wp:positionV>
                <wp:extent cx="6154429" cy="2722254"/>
                <wp:effectExtent l="0" t="0" r="0" b="0"/>
                <wp:wrapThrough wrapText="bothSides" distL="57150" distR="57150">
                  <wp:wrapPolygon edited="1">
                    <wp:start x="0" y="0"/>
                    <wp:lineTo x="21600" y="0"/>
                    <wp:lineTo x="21600" y="21600"/>
                    <wp:lineTo x="0" y="21600"/>
                    <wp:lineTo x="0" y="0"/>
                  </wp:wrapPolygon>
                </wp:wrapThrough>
                <wp:docPr id="1073741828" name="officeArt object" descr="officeArt object"/>
                <wp:cNvGraphicFramePr/>
                <a:graphic xmlns:a="http://schemas.openxmlformats.org/drawingml/2006/main">
                  <a:graphicData uri="http://schemas.microsoft.com/office/word/2010/wordprocessingGroup">
                    <wpg:wgp>
                      <wpg:cNvGrpSpPr/>
                      <wpg:grpSpPr>
                        <a:xfrm>
                          <a:off x="0" y="0"/>
                          <a:ext cx="6154429" cy="2722254"/>
                          <a:chOff x="-1" y="0"/>
                          <a:chExt cx="6154428" cy="2722253"/>
                        </a:xfrm>
                      </wpg:grpSpPr>
                      <wps:wsp>
                        <wps:cNvPr id="1073741826" name="Shape 1073741827"/>
                        <wps:cNvSpPr/>
                        <wps:spPr>
                          <a:xfrm>
                            <a:off x="-2" y="-1"/>
                            <a:ext cx="6154430" cy="2722255"/>
                          </a:xfrm>
                          <a:prstGeom prst="rect">
                            <a:avLst/>
                          </a:prstGeom>
                          <a:noFill/>
                          <a:ln w="38100" cap="flat">
                            <a:solidFill>
                              <a:srgbClr val="000000"/>
                            </a:solidFill>
                            <a:prstDash val="solid"/>
                            <a:round/>
                          </a:ln>
                          <a:effectLst/>
                        </wps:spPr>
                        <wps:bodyPr/>
                      </wps:wsp>
                      <wps:wsp>
                        <wps:cNvPr id="1073741827" name="Shape 1073741828"/>
                        <wps:cNvSpPr txBox="1"/>
                        <wps:spPr>
                          <a:xfrm>
                            <a:off x="-2" y="-1"/>
                            <a:ext cx="6154430" cy="2722255"/>
                          </a:xfrm>
                          <a:prstGeom prst="rect">
                            <a:avLst/>
                          </a:prstGeom>
                          <a:noFill/>
                          <a:ln w="12700" cap="flat">
                            <a:noFill/>
                            <a:miter lim="400000"/>
                          </a:ln>
                          <a:effectLst/>
                        </wps:spPr>
                        <wps:txbx>
                          <w:txbxContent>
                            <w:p w:rsidR="0056597B" w:rsidRDefault="0056597B">
                              <w:pPr>
                                <w:pStyle w:val="BodyA"/>
                                <w:rPr>
                                  <w:rFonts w:ascii="Arial" w:eastAsia="Arial" w:hAnsi="Arial" w:cs="Arial"/>
                                  <w:b/>
                                  <w:bCs/>
                                  <w:sz w:val="40"/>
                                  <w:szCs w:val="40"/>
                                </w:rPr>
                              </w:pPr>
                            </w:p>
                            <w:p w:rsidR="0056597B" w:rsidRPr="00376715" w:rsidRDefault="00376715">
                              <w:pPr>
                                <w:pStyle w:val="BodyA"/>
                                <w:jc w:val="center"/>
                                <w:rPr>
                                  <w:rFonts w:ascii="Arial" w:hAnsi="Arial"/>
                                  <w:b/>
                                  <w:bCs/>
                                  <w:sz w:val="32"/>
                                  <w:szCs w:val="32"/>
                                </w:rPr>
                              </w:pPr>
                              <w:r w:rsidRPr="00376715">
                                <w:rPr>
                                  <w:rFonts w:ascii="Arial" w:hAnsi="Arial"/>
                                  <w:b/>
                                  <w:bCs/>
                                  <w:sz w:val="32"/>
                                  <w:szCs w:val="32"/>
                                </w:rPr>
                                <w:t xml:space="preserve">DRAFT </w:t>
                              </w:r>
                              <w:r w:rsidR="0088239A" w:rsidRPr="00376715">
                                <w:rPr>
                                  <w:rFonts w:ascii="Arial" w:hAnsi="Arial"/>
                                  <w:b/>
                                  <w:bCs/>
                                  <w:sz w:val="32"/>
                                  <w:szCs w:val="32"/>
                                </w:rPr>
                                <w:t xml:space="preserve">Decision Document on </w:t>
                              </w:r>
                            </w:p>
                            <w:p w:rsidR="00376715" w:rsidRPr="00376715" w:rsidRDefault="00376715">
                              <w:pPr>
                                <w:pStyle w:val="BodyA"/>
                                <w:jc w:val="center"/>
                                <w:rPr>
                                  <w:rFonts w:ascii="Arial" w:hAnsi="Arial"/>
                                  <w:b/>
                                  <w:bCs/>
                                  <w:sz w:val="32"/>
                                  <w:szCs w:val="32"/>
                                </w:rPr>
                              </w:pPr>
                            </w:p>
                            <w:p w:rsidR="00376715" w:rsidRPr="00376715" w:rsidRDefault="00376715">
                              <w:pPr>
                                <w:pStyle w:val="BodyA"/>
                                <w:jc w:val="center"/>
                                <w:rPr>
                                  <w:rFonts w:ascii="Arial" w:hAnsi="Arial"/>
                                  <w:b/>
                                  <w:bCs/>
                                  <w:sz w:val="32"/>
                                  <w:szCs w:val="32"/>
                                </w:rPr>
                              </w:pPr>
                            </w:p>
                            <w:p w:rsidR="00376715" w:rsidRPr="00376715" w:rsidRDefault="00376715">
                              <w:pPr>
                                <w:pStyle w:val="BodyA"/>
                                <w:jc w:val="center"/>
                                <w:rPr>
                                  <w:rFonts w:ascii="Arial" w:eastAsia="Arial" w:hAnsi="Arial" w:cs="Arial"/>
                                  <w:b/>
                                  <w:bCs/>
                                  <w:sz w:val="32"/>
                                  <w:szCs w:val="32"/>
                                </w:rPr>
                              </w:pPr>
                              <w:r w:rsidRPr="00376715">
                                <w:rPr>
                                  <w:rFonts w:ascii="Arial" w:hAnsi="Arial"/>
                                  <w:b/>
                                  <w:bCs/>
                                  <w:sz w:val="32"/>
                                  <w:szCs w:val="32"/>
                                </w:rPr>
                                <w:t>Session 8</w:t>
                              </w:r>
                            </w:p>
                            <w:p w:rsidR="0056597B" w:rsidRPr="00376715" w:rsidRDefault="0056597B">
                              <w:pPr>
                                <w:pStyle w:val="BodyA"/>
                                <w:jc w:val="center"/>
                                <w:rPr>
                                  <w:rFonts w:ascii="Arial" w:eastAsia="Arial" w:hAnsi="Arial" w:cs="Arial"/>
                                  <w:b/>
                                  <w:bCs/>
                                  <w:sz w:val="32"/>
                                  <w:szCs w:val="32"/>
                                </w:rPr>
                              </w:pPr>
                            </w:p>
                            <w:p w:rsidR="0056597B" w:rsidRPr="00376715" w:rsidRDefault="0088239A">
                              <w:pPr>
                                <w:pStyle w:val="BodyA"/>
                                <w:jc w:val="center"/>
                                <w:rPr>
                                  <w:rFonts w:ascii="Arial" w:eastAsia="Arial" w:hAnsi="Arial" w:cs="Arial"/>
                                  <w:b/>
                                  <w:bCs/>
                                  <w:sz w:val="32"/>
                                  <w:szCs w:val="32"/>
                                </w:rPr>
                              </w:pPr>
                              <w:r w:rsidRPr="00376715">
                                <w:rPr>
                                  <w:rFonts w:ascii="Arial" w:hAnsi="Arial"/>
                                  <w:b/>
                                  <w:bCs/>
                                  <w:sz w:val="32"/>
                                  <w:szCs w:val="32"/>
                                </w:rPr>
                                <w:t>Threatened Species Working Group</w:t>
                              </w:r>
                            </w:p>
                            <w:p w:rsidR="0056597B" w:rsidRPr="00376715" w:rsidRDefault="0088239A">
                              <w:pPr>
                                <w:pStyle w:val="BodyA"/>
                                <w:jc w:val="center"/>
                                <w:rPr>
                                  <w:sz w:val="32"/>
                                  <w:szCs w:val="32"/>
                                </w:rPr>
                              </w:pPr>
                              <w:r w:rsidRPr="00376715">
                                <w:rPr>
                                  <w:rFonts w:ascii="Arial" w:hAnsi="Arial"/>
                                  <w:b/>
                                  <w:bCs/>
                                  <w:sz w:val="32"/>
                                  <w:szCs w:val="32"/>
                                </w:rPr>
                                <w:t>___________________</w:t>
                              </w:r>
                            </w:p>
                          </w:txbxContent>
                        </wps:txbx>
                        <wps:bodyPr wrap="square" lIns="88900" tIns="88900" rIns="88900" bIns="88900" numCol="1" anchor="t">
                          <a:noAutofit/>
                        </wps:bodyPr>
                      </wps:wsp>
                    </wpg:wgp>
                  </a:graphicData>
                </a:graphic>
              </wp:anchor>
            </w:drawing>
          </mc:Choice>
          <mc:Fallback>
            <w:pict>
              <v:group id="officeArt object" o:spid="_x0000_s1026" alt="officeArt object" style="position:absolute;margin-left:60.55pt;margin-top:261.2pt;width:484.6pt;height:214.35pt;z-index:251659264;mso-wrap-distance-left:4.5pt;mso-wrap-distance-top:4.5pt;mso-wrap-distance-right:4.5pt;mso-wrap-distance-bottom:4.5pt;mso-position-horizontal-relative:page;mso-position-vertical-relative:page" coordorigin="" coordsize="61544,27222" wrapcoords="-2 0 21598 0 21598 21600 -2 21600 -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">
                <v:rect id="Shape 1073741827" o:spid="_x0000_s1027" style="position:absolute;width:61544;height:27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" filled="f" strokeweight="3pt">
                  <v:stroke joinstyle="round"/>
                </v:rect>
                <v:shapetype id="_x0000_t202" coordsize="21600,21600" o:spt="202" path="m,l,21600r21600,l21600,xe">
                  <v:stroke joinstyle="miter"/>
                  <v:path gradientshapeok="t" o:connecttype="rect"/>
                </v:shapetype>
                <v:shape id="Shape 1073741828" o:spid="_x0000_s1028" type="#_x0000_t202" style="position:absolute;width:61544;height:27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" filled="f" stroked="f" strokeweight="1pt">
                  <v:stroke miterlimit="4"/>
                  <v:textbox inset="7pt,7pt,7pt,7pt">
                    <w:txbxContent>
                      <w:p w:rsidR="0056597B" w:rsidRDefault="0056597B">
                        <w:pPr>
                          <w:pStyle w:val="BodyA"/>
                          <w:rPr>
                            <w:rFonts w:ascii="Arial" w:eastAsia="Arial" w:hAnsi="Arial" w:cs="Arial"/>
                            <w:b/>
                            <w:bCs/>
                            <w:sz w:val="40"/>
                            <w:szCs w:val="40"/>
                          </w:rPr>
                        </w:pPr>
                      </w:p>
                      <w:p w:rsidR="0056597B" w:rsidRPr="00376715" w:rsidRDefault="00376715">
                        <w:pPr>
                          <w:pStyle w:val="BodyA"/>
                          <w:jc w:val="center"/>
                          <w:rPr>
                            <w:rFonts w:ascii="Arial" w:hAnsi="Arial"/>
                            <w:b/>
                            <w:bCs/>
                            <w:sz w:val="32"/>
                            <w:szCs w:val="32"/>
                          </w:rPr>
                        </w:pPr>
                        <w:r w:rsidRPr="00376715">
                          <w:rPr>
                            <w:rFonts w:ascii="Arial" w:hAnsi="Arial"/>
                            <w:b/>
                            <w:bCs/>
                            <w:sz w:val="32"/>
                            <w:szCs w:val="32"/>
                          </w:rPr>
                          <w:t xml:space="preserve">DRAFT </w:t>
                        </w:r>
                        <w:r w:rsidR="0088239A" w:rsidRPr="00376715">
                          <w:rPr>
                            <w:rFonts w:ascii="Arial" w:hAnsi="Arial"/>
                            <w:b/>
                            <w:bCs/>
                            <w:sz w:val="32"/>
                            <w:szCs w:val="32"/>
                          </w:rPr>
                          <w:t xml:space="preserve">Decision Document on </w:t>
                        </w:r>
                      </w:p>
                      <w:p w:rsidR="00376715" w:rsidRPr="00376715" w:rsidRDefault="00376715">
                        <w:pPr>
                          <w:pStyle w:val="BodyA"/>
                          <w:jc w:val="center"/>
                          <w:rPr>
                            <w:rFonts w:ascii="Arial" w:hAnsi="Arial"/>
                            <w:b/>
                            <w:bCs/>
                            <w:sz w:val="32"/>
                            <w:szCs w:val="32"/>
                          </w:rPr>
                        </w:pPr>
                      </w:p>
                      <w:p w:rsidR="00376715" w:rsidRPr="00376715" w:rsidRDefault="00376715">
                        <w:pPr>
                          <w:pStyle w:val="BodyA"/>
                          <w:jc w:val="center"/>
                          <w:rPr>
                            <w:rFonts w:ascii="Arial" w:hAnsi="Arial"/>
                            <w:b/>
                            <w:bCs/>
                            <w:sz w:val="32"/>
                            <w:szCs w:val="32"/>
                          </w:rPr>
                        </w:pPr>
                      </w:p>
                      <w:p w:rsidR="00376715" w:rsidRPr="00376715" w:rsidRDefault="00376715">
                        <w:pPr>
                          <w:pStyle w:val="BodyA"/>
                          <w:jc w:val="center"/>
                          <w:rPr>
                            <w:rFonts w:ascii="Arial" w:eastAsia="Arial" w:hAnsi="Arial" w:cs="Arial"/>
                            <w:b/>
                            <w:bCs/>
                            <w:sz w:val="32"/>
                            <w:szCs w:val="32"/>
                          </w:rPr>
                        </w:pPr>
                        <w:r w:rsidRPr="00376715">
                          <w:rPr>
                            <w:rFonts w:ascii="Arial" w:hAnsi="Arial"/>
                            <w:b/>
                            <w:bCs/>
                            <w:sz w:val="32"/>
                            <w:szCs w:val="32"/>
                          </w:rPr>
                          <w:t>Session 8</w:t>
                        </w:r>
                      </w:p>
                      <w:p w:rsidR="0056597B" w:rsidRPr="00376715" w:rsidRDefault="0056597B">
                        <w:pPr>
                          <w:pStyle w:val="BodyA"/>
                          <w:jc w:val="center"/>
                          <w:rPr>
                            <w:rFonts w:ascii="Arial" w:eastAsia="Arial" w:hAnsi="Arial" w:cs="Arial"/>
                            <w:b/>
                            <w:bCs/>
                            <w:sz w:val="32"/>
                            <w:szCs w:val="32"/>
                          </w:rPr>
                        </w:pPr>
                      </w:p>
                      <w:p w:rsidR="0056597B" w:rsidRPr="00376715" w:rsidRDefault="0088239A">
                        <w:pPr>
                          <w:pStyle w:val="BodyA"/>
                          <w:jc w:val="center"/>
                          <w:rPr>
                            <w:rFonts w:ascii="Arial" w:eastAsia="Arial" w:hAnsi="Arial" w:cs="Arial"/>
                            <w:b/>
                            <w:bCs/>
                            <w:sz w:val="32"/>
                            <w:szCs w:val="32"/>
                          </w:rPr>
                        </w:pPr>
                        <w:r w:rsidRPr="00376715">
                          <w:rPr>
                            <w:rFonts w:ascii="Arial" w:hAnsi="Arial"/>
                            <w:b/>
                            <w:bCs/>
                            <w:sz w:val="32"/>
                            <w:szCs w:val="32"/>
                          </w:rPr>
                          <w:t>Threatened Species Working Group</w:t>
                        </w:r>
                      </w:p>
                      <w:p w:rsidR="0056597B" w:rsidRPr="00376715" w:rsidRDefault="0088239A">
                        <w:pPr>
                          <w:pStyle w:val="BodyA"/>
                          <w:jc w:val="center"/>
                          <w:rPr>
                            <w:sz w:val="32"/>
                            <w:szCs w:val="32"/>
                          </w:rPr>
                        </w:pPr>
                        <w:r w:rsidRPr="00376715">
                          <w:rPr>
                            <w:rFonts w:ascii="Arial" w:hAnsi="Arial"/>
                            <w:b/>
                            <w:bCs/>
                            <w:sz w:val="32"/>
                            <w:szCs w:val="32"/>
                          </w:rPr>
                          <w:t>___________________</w:t>
                        </w:r>
                      </w:p>
                    </w:txbxContent>
                  </v:textbox>
                </v:shape>
                <w10:wrap type="through" anchorx="page" anchory="page"/>
              </v:group>
            </w:pict>
          </mc:Fallback>
        </mc:AlternateContent>
      </w:r>
    </w:p>
    <w:p w:rsidR="0056597B" w:rsidRDefault="0056597B">
      <w:pPr>
        <w:pStyle w:val="BodyA"/>
      </w:pPr>
    </w:p>
    <w:p w:rsidR="0056597B" w:rsidRDefault="0056597B">
      <w:pPr>
        <w:pStyle w:val="BodyA"/>
      </w:pPr>
    </w:p>
    <w:p w:rsidR="0056597B" w:rsidRDefault="0056597B">
      <w:pPr>
        <w:pStyle w:val="BodyA"/>
        <w:jc w:val="center"/>
      </w:pPr>
    </w:p>
    <w:p w:rsidR="0056597B" w:rsidRDefault="0056597B">
      <w:pPr>
        <w:pStyle w:val="BodyA"/>
        <w:jc w:val="center"/>
      </w:pPr>
    </w:p>
    <w:p w:rsidR="0056597B" w:rsidRDefault="0056597B">
      <w:pPr>
        <w:pStyle w:val="BodyA"/>
        <w:jc w:val="center"/>
      </w:pPr>
    </w:p>
    <w:p w:rsidR="0056597B" w:rsidRDefault="0088239A">
      <w:pPr>
        <w:pStyle w:val="BodyA"/>
        <w:jc w:val="center"/>
      </w:pPr>
      <w:r>
        <w:rPr>
          <w:rFonts w:ascii="Arial" w:hAnsi="Arial"/>
          <w:b/>
          <w:bCs/>
        </w:rPr>
        <w:t>The 13</w:t>
      </w:r>
      <w:r>
        <w:rPr>
          <w:rFonts w:ascii="Arial" w:hAnsi="Arial"/>
          <w:b/>
          <w:bCs/>
          <w:vertAlign w:val="superscript"/>
        </w:rPr>
        <w:t>th</w:t>
      </w:r>
      <w:r>
        <w:rPr>
          <w:rFonts w:ascii="Arial" w:hAnsi="Arial"/>
          <w:b/>
          <w:bCs/>
        </w:rPr>
        <w:t xml:space="preserve"> CTI-CFF SENIOR OFFICIALS</w:t>
      </w:r>
      <w:r>
        <w:rPr>
          <w:rFonts w:ascii="Arial" w:hAnsi="Arial"/>
          <w:b/>
          <w:bCs/>
        </w:rPr>
        <w:t xml:space="preserve">’ </w:t>
      </w:r>
      <w:r>
        <w:rPr>
          <w:rFonts w:ascii="Arial" w:hAnsi="Arial"/>
          <w:b/>
          <w:bCs/>
        </w:rPr>
        <w:t>MEETING (SOM-13)</w:t>
      </w:r>
    </w:p>
    <w:p w:rsidR="0056597B" w:rsidRDefault="0056597B">
      <w:pPr>
        <w:pStyle w:val="BodyA"/>
        <w:jc w:val="center"/>
      </w:pPr>
    </w:p>
    <w:p w:rsidR="0056597B" w:rsidRDefault="0088239A">
      <w:pPr>
        <w:pStyle w:val="BodyA"/>
        <w:jc w:val="center"/>
      </w:pPr>
      <w:r>
        <w:rPr>
          <w:rFonts w:ascii="Arial" w:hAnsi="Arial"/>
          <w:b/>
          <w:bCs/>
        </w:rPr>
        <w:t>29 - 30 November 2017</w:t>
      </w:r>
    </w:p>
    <w:p w:rsidR="0056597B" w:rsidRDefault="0088239A">
      <w:pPr>
        <w:pStyle w:val="BodyA"/>
        <w:jc w:val="center"/>
      </w:pPr>
      <w:r>
        <w:rPr>
          <w:rFonts w:ascii="Arial" w:hAnsi="Arial"/>
          <w:b/>
          <w:bCs/>
          <w:lang w:val="it-IT"/>
        </w:rPr>
        <w:t>Dusit Thani Hotel</w:t>
      </w:r>
    </w:p>
    <w:p w:rsidR="0056597B" w:rsidRDefault="0088239A">
      <w:pPr>
        <w:pStyle w:val="BodyA"/>
        <w:jc w:val="center"/>
      </w:pPr>
      <w:r>
        <w:rPr>
          <w:rFonts w:ascii="Arial" w:hAnsi="Arial"/>
          <w:b/>
          <w:bCs/>
          <w:lang w:val="it-IT"/>
        </w:rPr>
        <w:t>Makati City, Philippines</w:t>
      </w:r>
    </w:p>
    <w:p w:rsidR="0056597B" w:rsidRDefault="0056597B">
      <w:pPr>
        <w:pStyle w:val="BodyA"/>
      </w:pPr>
    </w:p>
    <w:p w:rsidR="0056597B" w:rsidRDefault="0056597B">
      <w:pPr>
        <w:pStyle w:val="BodyA"/>
      </w:pPr>
    </w:p>
    <w:p w:rsidR="0056597B" w:rsidRDefault="0056597B">
      <w:pPr>
        <w:pStyle w:val="BodyA"/>
      </w:pPr>
    </w:p>
    <w:p w:rsidR="0056597B" w:rsidRDefault="0056597B">
      <w:pPr>
        <w:pStyle w:val="BodyA"/>
      </w:pPr>
    </w:p>
    <w:p w:rsidR="0056597B" w:rsidRDefault="0056597B">
      <w:pPr>
        <w:pStyle w:val="Default"/>
      </w:pPr>
    </w:p>
    <w:p w:rsidR="0056597B" w:rsidRDefault="0088239A">
      <w:pPr>
        <w:pStyle w:val="Default"/>
        <w:jc w:val="center"/>
      </w:pPr>
      <w:r>
        <w:rPr>
          <w:b/>
          <w:bCs/>
        </w:rPr>
        <w:t>Adopted on X November 2017</w:t>
      </w:r>
    </w:p>
    <w:p w:rsidR="0056597B" w:rsidRDefault="0088239A">
      <w:pPr>
        <w:pStyle w:val="Default"/>
        <w:jc w:val="center"/>
      </w:pPr>
      <w:r>
        <w:rPr>
          <w:b/>
          <w:bCs/>
        </w:rPr>
        <w:t>by</w:t>
      </w:r>
    </w:p>
    <w:p w:rsidR="0056597B" w:rsidRDefault="0088239A">
      <w:pPr>
        <w:pStyle w:val="BodyA"/>
        <w:jc w:val="center"/>
      </w:pPr>
      <w:r>
        <w:rPr>
          <w:rFonts w:ascii="Arial" w:hAnsi="Arial"/>
          <w:b/>
          <w:bCs/>
        </w:rPr>
        <w:t>the</w:t>
      </w:r>
      <w:r>
        <w:rPr>
          <w:rFonts w:ascii="Arial" w:hAnsi="Arial"/>
          <w:b/>
          <w:bCs/>
        </w:rPr>
        <w:t xml:space="preserve"> Governments of Indonesia, Malaysia, Papua New Guinea,</w:t>
      </w:r>
    </w:p>
    <w:p w:rsidR="0056597B" w:rsidRDefault="0088239A">
      <w:pPr>
        <w:pStyle w:val="BodyA"/>
        <w:jc w:val="center"/>
      </w:pPr>
      <w:r>
        <w:rPr>
          <w:rFonts w:ascii="Arial" w:hAnsi="Arial"/>
          <w:b/>
          <w:bCs/>
        </w:rPr>
        <w:t xml:space="preserve">         the Philippines, Solomon Islands, and Timor-Leste</w:t>
      </w:r>
    </w:p>
    <w:p w:rsidR="0056597B" w:rsidRDefault="0056597B">
      <w:pPr>
        <w:pStyle w:val="BodyA"/>
      </w:pPr>
    </w:p>
    <w:p w:rsidR="0056597B" w:rsidRDefault="0088239A">
      <w:pPr>
        <w:pStyle w:val="Default"/>
        <w:spacing w:line="276" w:lineRule="auto"/>
        <w:jc w:val="center"/>
      </w:pPr>
      <w:r>
        <w:rPr>
          <w:b/>
          <w:bCs/>
        </w:rPr>
        <w:lastRenderedPageBreak/>
        <w:t>I. Background</w:t>
      </w:r>
    </w:p>
    <w:p w:rsidR="0056597B" w:rsidRDefault="0056597B">
      <w:pPr>
        <w:pStyle w:val="Default"/>
        <w:spacing w:line="276" w:lineRule="auto"/>
        <w:jc w:val="both"/>
      </w:pPr>
    </w:p>
    <w:p w:rsidR="0056597B" w:rsidRDefault="0088239A">
      <w:pPr>
        <w:pStyle w:val="Default"/>
        <w:spacing w:line="288" w:lineRule="auto"/>
        <w:jc w:val="both"/>
      </w:pPr>
      <w:r>
        <w:t>With the endorsement of SOM12 and the technical and financial support of the partners and collaborators the first TSWG worksho</w:t>
      </w:r>
      <w:r>
        <w:t>p and TWG meeting was conducted on March 22-23, 2017 in Putrajaya, Malaysia. All member countries were represented and some threatened species experts from Malaysia and other regional organizations were also at hand to provide technical inputs and guidance</w:t>
      </w:r>
      <w:r>
        <w:t xml:space="preserve"> as the group navigated towards developing the outline for the regional TS assessment report, the region-wide conservation plan outline on TS and in formulating the regional roadmap of the TSWG to achieve the fifth goal of the RPOA.</w:t>
      </w:r>
    </w:p>
    <w:p w:rsidR="0056597B" w:rsidRDefault="0056597B">
      <w:pPr>
        <w:pStyle w:val="Default"/>
        <w:spacing w:line="288" w:lineRule="auto"/>
        <w:jc w:val="both"/>
      </w:pPr>
    </w:p>
    <w:p w:rsidR="0056597B" w:rsidRDefault="0088239A">
      <w:pPr>
        <w:pStyle w:val="Default"/>
        <w:spacing w:line="288" w:lineRule="auto"/>
        <w:jc w:val="both"/>
      </w:pPr>
      <w:r>
        <w:t>In addition to these d</w:t>
      </w:r>
      <w:r>
        <w:t>evelopments, the Sulu-Sulawesi Seascape Project is also making history with the establishment of a network of MPAs on the Philippine side of the transboundary Marine Turtle Protected Area Network (MTPAN) as safe havens for the Green Turtles (</w:t>
      </w:r>
      <w:proofErr w:type="spellStart"/>
      <w:r>
        <w:rPr>
          <w:i/>
          <w:iCs/>
        </w:rPr>
        <w:t>Chelonia</w:t>
      </w:r>
      <w:proofErr w:type="spellEnd"/>
      <w:r>
        <w:rPr>
          <w:i/>
          <w:iCs/>
        </w:rPr>
        <w:t xml:space="preserve"> </w:t>
      </w:r>
      <w:proofErr w:type="spellStart"/>
      <w:r>
        <w:rPr>
          <w:i/>
          <w:iCs/>
        </w:rPr>
        <w:t>mydas</w:t>
      </w:r>
      <w:proofErr w:type="spellEnd"/>
      <w:r>
        <w:t>) in Sulu-Sulawesi Seascape. The network was launched during a CMS-COP12 side event in Manila, Philippines last October 24, 2017. This was facilitated by GIZ in collaboration with Conservation International – Philippines with support from the German Federa</w:t>
      </w:r>
      <w:r>
        <w:t xml:space="preserve">l Ministry for the Environment, Nature Conservation, Building and Nuclear Safety. </w:t>
      </w:r>
    </w:p>
    <w:p w:rsidR="0056597B" w:rsidRDefault="0056597B">
      <w:pPr>
        <w:pStyle w:val="Default"/>
        <w:spacing w:line="288" w:lineRule="auto"/>
        <w:jc w:val="both"/>
      </w:pPr>
    </w:p>
    <w:p w:rsidR="0056597B" w:rsidRDefault="0056597B">
      <w:pPr>
        <w:pStyle w:val="Default"/>
        <w:spacing w:line="288" w:lineRule="auto"/>
        <w:jc w:val="both"/>
      </w:pPr>
    </w:p>
    <w:p w:rsidR="0056597B" w:rsidRDefault="0088239A">
      <w:pPr>
        <w:pStyle w:val="Default"/>
        <w:spacing w:line="288" w:lineRule="auto"/>
        <w:jc w:val="center"/>
      </w:pPr>
      <w:r>
        <w:rPr>
          <w:b/>
          <w:bCs/>
        </w:rPr>
        <w:t>II. Decision</w:t>
      </w:r>
      <w:bookmarkStart w:id="0" w:name="_GoBack"/>
      <w:bookmarkEnd w:id="0"/>
    </w:p>
    <w:p w:rsidR="0056597B" w:rsidRDefault="0056597B">
      <w:pPr>
        <w:pStyle w:val="Default"/>
        <w:spacing w:line="288" w:lineRule="auto"/>
        <w:jc w:val="both"/>
      </w:pPr>
    </w:p>
    <w:p w:rsidR="0056597B" w:rsidRDefault="0088239A">
      <w:pPr>
        <w:pStyle w:val="BodyA"/>
        <w:spacing w:line="288" w:lineRule="auto"/>
        <w:jc w:val="both"/>
      </w:pPr>
      <w:r>
        <w:rPr>
          <w:rFonts w:ascii="Arial" w:hAnsi="Arial"/>
        </w:rPr>
        <w:t xml:space="preserve">Based on the presentation by the WG and discussions during the session on </w:t>
      </w:r>
      <w:r>
        <w:rPr>
          <w:rFonts w:ascii="Arial" w:hAnsi="Arial"/>
          <w:i/>
          <w:iCs/>
        </w:rPr>
        <w:t xml:space="preserve">Technical Working Group Reports - Threatened Species </w:t>
      </w:r>
      <w:r>
        <w:rPr>
          <w:rFonts w:ascii="Arial" w:hAnsi="Arial"/>
        </w:rPr>
        <w:t>at SOM13, the Senior Officials</w:t>
      </w:r>
      <w:r>
        <w:rPr>
          <w:rFonts w:ascii="Arial" w:hAnsi="Arial"/>
        </w:rPr>
        <w:t xml:space="preserve"> hereby:</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Commended the achievement of the Sulu-Sulawesi Seascape Project for having established the network of MPAs on the Philippine side of the MTPAN as safe havens for the Green Turtles and acknowledge the support of the German Federal Ministry for Env</w:t>
      </w:r>
      <w:r>
        <w:rPr>
          <w:rFonts w:ascii="Arial" w:hAnsi="Arial"/>
        </w:rPr>
        <w:t>ironment, Nature Conservation, Building and Nuclear Safety through GIZ and CI-Philippines to make this happen;</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Noted the progress made by the countries in formulating their assessment report on threatened species, hence, tasked the WG to develop a regiona</w:t>
      </w:r>
      <w:r>
        <w:rPr>
          <w:rFonts w:ascii="Arial" w:hAnsi="Arial"/>
        </w:rPr>
        <w:t>l profile/report based on the national reports on the status of the TS in the Coral Triangle Region;</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 xml:space="preserve">Noted the progress made by the countries in formulating their national conservation plans for marine mammals, sharks and rays and marine </w:t>
      </w:r>
      <w:r>
        <w:rPr>
          <w:rFonts w:ascii="Arial" w:hAnsi="Arial"/>
        </w:rPr>
        <w:lastRenderedPageBreak/>
        <w:t>turtles, thus, ta</w:t>
      </w:r>
      <w:r>
        <w:rPr>
          <w:rFonts w:ascii="Arial" w:hAnsi="Arial"/>
        </w:rPr>
        <w:t>sked the WG to put together a region-wide conservation plan for these threatened species;</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 xml:space="preserve">Adopted the proposed Terms of Reference for the creation of a pool of experts on threatened species and directed the working group to establish the pool of experts </w:t>
      </w:r>
      <w:r>
        <w:rPr>
          <w:rFonts w:ascii="Arial" w:hAnsi="Arial"/>
        </w:rPr>
        <w:t>by 2018;</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Instructed the working group to initiate the development of the TSWG monitoring and evaluation indicators;</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 xml:space="preserve">Agreed to endorse the recommendation of the WG to </w:t>
      </w:r>
      <w:proofErr w:type="spellStart"/>
      <w:r>
        <w:rPr>
          <w:rFonts w:ascii="Arial" w:hAnsi="Arial"/>
        </w:rPr>
        <w:t>turnover</w:t>
      </w:r>
      <w:proofErr w:type="spellEnd"/>
      <w:r>
        <w:rPr>
          <w:rFonts w:ascii="Arial" w:hAnsi="Arial"/>
        </w:rPr>
        <w:t xml:space="preserve"> the TWG Chairmanship from Malaysia to Papua New Guinea based on the TSWG Terms </w:t>
      </w:r>
      <w:r>
        <w:rPr>
          <w:rFonts w:ascii="Arial" w:hAnsi="Arial"/>
        </w:rPr>
        <w:t>of Reference under 3.2 of Section 3 on Membership and Structure which states that the term of the WG Chair and Co-Chair is 2 years starting on 1 January of the year, following the confirmation of the SOM.</w:t>
      </w:r>
    </w:p>
    <w:p w:rsidR="0056597B" w:rsidRDefault="0056597B">
      <w:pPr>
        <w:pStyle w:val="BodyA"/>
        <w:spacing w:line="288" w:lineRule="auto"/>
        <w:jc w:val="both"/>
      </w:pPr>
    </w:p>
    <w:p w:rsidR="0056597B" w:rsidRDefault="0088239A">
      <w:pPr>
        <w:pStyle w:val="BodyA"/>
        <w:numPr>
          <w:ilvl w:val="1"/>
          <w:numId w:val="2"/>
        </w:numPr>
        <w:spacing w:line="288" w:lineRule="auto"/>
        <w:jc w:val="both"/>
      </w:pPr>
      <w:r>
        <w:rPr>
          <w:rFonts w:ascii="Arial" w:hAnsi="Arial"/>
        </w:rPr>
        <w:t>Approved the TSWG Work Plan 2018 and called on the</w:t>
      </w:r>
      <w:r>
        <w:rPr>
          <w:rFonts w:ascii="Arial" w:hAnsi="Arial"/>
        </w:rPr>
        <w:t xml:space="preserve"> development partners and collaborators to continue to provide technical and financial support to Goal 5. </w:t>
      </w:r>
    </w:p>
    <w:p w:rsidR="0056597B" w:rsidRDefault="0056597B">
      <w:pPr>
        <w:pStyle w:val="Header"/>
        <w:tabs>
          <w:tab w:val="clear" w:pos="8640"/>
          <w:tab w:val="left" w:pos="468"/>
          <w:tab w:val="left" w:pos="751"/>
          <w:tab w:val="right" w:pos="8528"/>
        </w:tabs>
        <w:spacing w:after="240" w:line="276" w:lineRule="auto"/>
        <w:ind w:left="317" w:hanging="317"/>
        <w:jc w:val="both"/>
      </w:pPr>
    </w:p>
    <w:p w:rsidR="0056597B" w:rsidRDefault="0088239A">
      <w:pPr>
        <w:pStyle w:val="BodyA"/>
        <w:spacing w:line="288" w:lineRule="auto"/>
        <w:jc w:val="both"/>
      </w:pPr>
      <w:r>
        <w:rPr>
          <w:rFonts w:ascii="Arial" w:eastAsia="Arial" w:hAnsi="Arial" w:cs="Arial"/>
        </w:rPr>
        <w:tab/>
      </w:r>
    </w:p>
    <w:p w:rsidR="0056597B" w:rsidRDefault="0088239A">
      <w:pPr>
        <w:pStyle w:val="BodyA"/>
        <w:spacing w:line="288" w:lineRule="auto"/>
        <w:jc w:val="both"/>
      </w:pPr>
      <w:r>
        <w:rPr>
          <w:rFonts w:ascii="Arial" w:hAnsi="Arial"/>
          <w:b/>
          <w:bCs/>
        </w:rPr>
        <w:t>Attachments:</w:t>
      </w:r>
    </w:p>
    <w:p w:rsidR="0056597B" w:rsidRDefault="0056597B">
      <w:pPr>
        <w:pStyle w:val="BodyA"/>
        <w:spacing w:line="288" w:lineRule="auto"/>
        <w:jc w:val="both"/>
      </w:pPr>
    </w:p>
    <w:p w:rsidR="0056597B" w:rsidRDefault="0088239A">
      <w:pPr>
        <w:pStyle w:val="BodyA"/>
        <w:numPr>
          <w:ilvl w:val="0"/>
          <w:numId w:val="4"/>
        </w:numPr>
        <w:spacing w:line="288" w:lineRule="auto"/>
        <w:jc w:val="both"/>
        <w:rPr>
          <w:rFonts w:ascii="Arial" w:hAnsi="Arial"/>
        </w:rPr>
      </w:pPr>
      <w:r>
        <w:rPr>
          <w:rFonts w:ascii="Arial" w:hAnsi="Arial"/>
        </w:rPr>
        <w:t>Threatened Species Working Group Report for SOM13</w:t>
      </w:r>
    </w:p>
    <w:p w:rsidR="0056597B" w:rsidRDefault="0088239A">
      <w:pPr>
        <w:pStyle w:val="BodyA"/>
        <w:numPr>
          <w:ilvl w:val="0"/>
          <w:numId w:val="4"/>
        </w:numPr>
        <w:spacing w:line="288" w:lineRule="auto"/>
      </w:pPr>
      <w:r>
        <w:rPr>
          <w:rFonts w:ascii="Arial" w:hAnsi="Arial"/>
        </w:rPr>
        <w:t>TSWG Meeting minutes and activity report</w:t>
      </w:r>
    </w:p>
    <w:p w:rsidR="0056597B" w:rsidRDefault="0088239A">
      <w:pPr>
        <w:pStyle w:val="BodyA"/>
        <w:numPr>
          <w:ilvl w:val="0"/>
          <w:numId w:val="4"/>
        </w:numPr>
        <w:spacing w:line="288" w:lineRule="auto"/>
      </w:pPr>
      <w:r>
        <w:rPr>
          <w:rFonts w:ascii="Arial" w:hAnsi="Arial"/>
        </w:rPr>
        <w:t xml:space="preserve">Terms of Reference for the creation of a </w:t>
      </w:r>
      <w:r>
        <w:rPr>
          <w:rFonts w:ascii="Arial" w:hAnsi="Arial"/>
        </w:rPr>
        <w:t>pool of experts</w:t>
      </w:r>
    </w:p>
    <w:p w:rsidR="0056597B" w:rsidRDefault="0088239A">
      <w:pPr>
        <w:pStyle w:val="BodyA"/>
        <w:numPr>
          <w:ilvl w:val="0"/>
          <w:numId w:val="4"/>
        </w:numPr>
        <w:spacing w:line="288" w:lineRule="auto"/>
      </w:pPr>
      <w:r>
        <w:rPr>
          <w:rFonts w:ascii="Arial" w:hAnsi="Arial"/>
        </w:rPr>
        <w:t>Sulu-Sulawesi Seascape material on the MPA network for marine turtles</w:t>
      </w:r>
    </w:p>
    <w:sectPr w:rsidR="0056597B">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39A" w:rsidRDefault="0088239A">
      <w:r>
        <w:separator/>
      </w:r>
    </w:p>
  </w:endnote>
  <w:endnote w:type="continuationSeparator" w:id="0">
    <w:p w:rsidR="0088239A" w:rsidRDefault="00882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font>
  <w:font w:name="Arial Unicode MS">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715" w:rsidRDefault="003767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97B" w:rsidRDefault="0088239A">
    <w:pPr>
      <w:pStyle w:val="Footer"/>
      <w:tabs>
        <w:tab w:val="clear" w:pos="8640"/>
        <w:tab w:val="right" w:pos="8528"/>
      </w:tabs>
    </w:pPr>
    <w:r>
      <w:rPr>
        <w:rFonts w:ascii="Arial" w:hAnsi="Arial"/>
        <w:sz w:val="20"/>
        <w:szCs w:val="20"/>
      </w:rPr>
      <w:t>The 13</w:t>
    </w:r>
    <w:r>
      <w:rPr>
        <w:rFonts w:ascii="Arial" w:hAnsi="Arial"/>
        <w:sz w:val="20"/>
        <w:szCs w:val="20"/>
        <w:vertAlign w:val="superscript"/>
      </w:rPr>
      <w:t>th</w:t>
    </w:r>
    <w:r>
      <w:rPr>
        <w:rFonts w:ascii="Arial" w:hAnsi="Arial"/>
        <w:sz w:val="20"/>
        <w:szCs w:val="20"/>
      </w:rPr>
      <w:t xml:space="preserve"> CTI-CFF Senior Official Meeting </w:t>
    </w:r>
    <w:r>
      <w:rPr>
        <w:rFonts w:ascii="Arial" w:hAnsi="Arial"/>
        <w:sz w:val="20"/>
        <w:szCs w:val="20"/>
      </w:rPr>
      <w:tab/>
    </w:r>
    <w:r>
      <w:rPr>
        <w:rFonts w:ascii="Arial" w:hAnsi="Arial"/>
        <w:sz w:val="20"/>
        <w:szCs w:val="20"/>
      </w:rPr>
      <w:tab/>
    </w:r>
    <w:r>
      <w:rPr>
        <w:rFonts w:ascii="Arial" w:eastAsia="Arial" w:hAnsi="Arial" w:cs="Arial"/>
        <w:sz w:val="20"/>
        <w:szCs w:val="20"/>
      </w:rPr>
      <w:fldChar w:fldCharType="begin"/>
    </w:r>
    <w:r>
      <w:rPr>
        <w:rFonts w:ascii="Arial" w:eastAsia="Arial" w:hAnsi="Arial" w:cs="Arial"/>
        <w:sz w:val="20"/>
        <w:szCs w:val="20"/>
      </w:rPr>
      <w:instrText xml:space="preserve"> PAGE </w:instrText>
    </w:r>
    <w:r>
      <w:rPr>
        <w:rFonts w:ascii="Arial" w:eastAsia="Arial" w:hAnsi="Arial" w:cs="Arial"/>
        <w:sz w:val="20"/>
        <w:szCs w:val="20"/>
      </w:rPr>
      <w:fldChar w:fldCharType="separate"/>
    </w:r>
    <w:r w:rsidR="00376715">
      <w:rPr>
        <w:rFonts w:ascii="Arial" w:eastAsia="Arial" w:hAnsi="Arial" w:cs="Arial"/>
        <w:noProof/>
        <w:sz w:val="20"/>
        <w:szCs w:val="20"/>
      </w:rPr>
      <w:t>3</w:t>
    </w:r>
    <w:r>
      <w:rPr>
        <w:rFonts w:ascii="Arial" w:eastAsia="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715" w:rsidRDefault="00376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39A" w:rsidRDefault="0088239A">
      <w:r>
        <w:separator/>
      </w:r>
    </w:p>
  </w:footnote>
  <w:footnote w:type="continuationSeparator" w:id="0">
    <w:p w:rsidR="0088239A" w:rsidRDefault="00882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715" w:rsidRDefault="00376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475502"/>
      <w:docPartObj>
        <w:docPartGallery w:val="Watermarks"/>
        <w:docPartUnique/>
      </w:docPartObj>
    </w:sdtPr>
    <w:sdtContent>
      <w:p w:rsidR="0056597B" w:rsidRDefault="00376715">
        <w:pPr>
          <w:pStyle w:val="HeaderFoo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715" w:rsidRDefault="00376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66F8C"/>
    <w:multiLevelType w:val="hybridMultilevel"/>
    <w:tmpl w:val="C36A2B4E"/>
    <w:numStyleLink w:val="Numbered"/>
  </w:abstractNum>
  <w:abstractNum w:abstractNumId="1" w15:restartNumberingAfterBreak="0">
    <w:nsid w:val="0EE170BD"/>
    <w:multiLevelType w:val="hybridMultilevel"/>
    <w:tmpl w:val="C36A2B4E"/>
    <w:styleLink w:val="Numbered"/>
    <w:lvl w:ilvl="0" w:tplc="B4FA812A">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C0A871E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538A2CE8">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07E0869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97EF82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9438CF74">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36BA0DA2">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5A0C11A8">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A69C1B2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B0777A2"/>
    <w:multiLevelType w:val="hybridMultilevel"/>
    <w:tmpl w:val="2BC8F72A"/>
    <w:numStyleLink w:val="Numbered0"/>
  </w:abstractNum>
  <w:abstractNum w:abstractNumId="3" w15:restartNumberingAfterBreak="0">
    <w:nsid w:val="74220C3C"/>
    <w:multiLevelType w:val="hybridMultilevel"/>
    <w:tmpl w:val="2BC8F72A"/>
    <w:styleLink w:val="Numbered0"/>
    <w:lvl w:ilvl="0" w:tplc="AE6E2CD8">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BB64804E">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C0701342">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43F2EF7C">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11E0FE4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610C836E">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AA9A464E">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714497A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2B9EA402">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97B"/>
    <w:rsid w:val="00376715"/>
    <w:rsid w:val="0056597B"/>
    <w:rsid w:val="00882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C69D2B"/>
  <w15:docId w15:val="{2E029D74-6AF0-4A3F-B00F-2043C5B0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320"/>
        <w:tab w:val="right" w:pos="8640"/>
      </w:tabs>
    </w:pPr>
    <w:rPr>
      <w:rFonts w:ascii="Cambria" w:eastAsia="Cambria" w:hAnsi="Cambria" w:cs="Cambria"/>
      <w:color w:val="000000"/>
      <w:sz w:val="24"/>
      <w:szCs w:val="24"/>
      <w:u w:color="000000"/>
      <w:lang w:val="en-US"/>
    </w:rPr>
  </w:style>
  <w:style w:type="paragraph" w:customStyle="1" w:styleId="BodyA">
    <w:name w:val="Body A"/>
    <w:rPr>
      <w:rFonts w:ascii="Cambria" w:eastAsia="Cambria" w:hAnsi="Cambria" w:cs="Cambria"/>
      <w:color w:val="000000"/>
      <w:sz w:val="24"/>
      <w:szCs w:val="24"/>
      <w:u w:color="000000"/>
      <w:lang w:val="en-US"/>
    </w:rPr>
  </w:style>
  <w:style w:type="paragraph" w:customStyle="1" w:styleId="Default">
    <w:name w:val="Default"/>
    <w:rPr>
      <w:rFonts w:ascii="Arial" w:eastAsia="Arial" w:hAnsi="Arial" w:cs="Arial"/>
      <w:color w:val="000000"/>
      <w:sz w:val="24"/>
      <w:szCs w:val="24"/>
      <w:u w:color="000000"/>
      <w:lang w:val="en-US"/>
    </w:rPr>
  </w:style>
  <w:style w:type="numbering" w:customStyle="1" w:styleId="Numbered">
    <w:name w:val="Numbered"/>
    <w:pPr>
      <w:numPr>
        <w:numId w:val="1"/>
      </w:numPr>
    </w:p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numbering" w:customStyle="1" w:styleId="Numbered0">
    <w:name w:val="Numbered.0"/>
    <w:pPr>
      <w:numPr>
        <w:numId w:val="3"/>
      </w:numPr>
    </w:pPr>
  </w:style>
  <w:style w:type="paragraph" w:styleId="BalloonText">
    <w:name w:val="Balloon Text"/>
    <w:basedOn w:val="Normal"/>
    <w:link w:val="BalloonTextChar"/>
    <w:uiPriority w:val="99"/>
    <w:semiHidden/>
    <w:unhideWhenUsed/>
    <w:rsid w:val="003767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715"/>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8D770-4732-4E07-96B9-BD2B167C2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Ilham</cp:lastModifiedBy>
  <cp:revision>2</cp:revision>
  <dcterms:created xsi:type="dcterms:W3CDTF">2017-11-14T04:17:00Z</dcterms:created>
  <dcterms:modified xsi:type="dcterms:W3CDTF">2017-11-14T04:18:00Z</dcterms:modified>
</cp:coreProperties>
</file>