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914C87">
      <w:pPr>
        <w:jc w:val="both"/>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914C87">
      <w:pPr>
        <w:jc w:val="both"/>
        <w:rPr>
          <w:rFonts w:ascii="Arial" w:hAnsi="Arial" w:cs="Arial"/>
          <w:lang w:val="en-GB"/>
        </w:rPr>
      </w:pPr>
    </w:p>
    <w:p w14:paraId="77F95461" w14:textId="77777777" w:rsidR="00021D40" w:rsidRPr="004B04E4" w:rsidRDefault="00B72702" w:rsidP="00914C87">
      <w:pPr>
        <w:jc w:val="both"/>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26F72506" w14:textId="77777777" w:rsidR="00497131" w:rsidRPr="00E709EF" w:rsidRDefault="00497131" w:rsidP="006B487F">
                            <w:pPr>
                              <w:jc w:val="center"/>
                              <w:rPr>
                                <w:rFonts w:ascii="Arial" w:hAnsi="Arial" w:cs="Arial"/>
                                <w:b/>
                                <w:sz w:val="32"/>
                                <w:szCs w:val="32"/>
                              </w:rPr>
                            </w:pPr>
                          </w:p>
                          <w:p w14:paraId="72541F7C" w14:textId="16381349"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004887B4" w14:textId="04245415" w:rsidR="006342D4" w:rsidRDefault="006342D4" w:rsidP="00C04FDA">
                            <w:pPr>
                              <w:jc w:val="center"/>
                              <w:rPr>
                                <w:rFonts w:ascii="Arial" w:hAnsi="Arial" w:cs="Arial"/>
                                <w:b/>
                                <w:sz w:val="32"/>
                                <w:szCs w:val="32"/>
                              </w:rPr>
                            </w:pPr>
                          </w:p>
                          <w:p w14:paraId="00BA6C52" w14:textId="2620CBEF" w:rsidR="006342D4" w:rsidRDefault="006342D4" w:rsidP="00C04FDA">
                            <w:pPr>
                              <w:jc w:val="center"/>
                              <w:rPr>
                                <w:rFonts w:ascii="Arial" w:hAnsi="Arial" w:cs="Arial"/>
                                <w:b/>
                                <w:sz w:val="32"/>
                                <w:szCs w:val="32"/>
                              </w:rPr>
                            </w:pPr>
                          </w:p>
                          <w:p w14:paraId="533C49E5" w14:textId="023AA5DE" w:rsidR="006342D4" w:rsidRPr="00E709EF" w:rsidRDefault="006342D4" w:rsidP="00C04FDA">
                            <w:pPr>
                              <w:jc w:val="center"/>
                              <w:rPr>
                                <w:rFonts w:ascii="Arial" w:hAnsi="Arial" w:cs="Arial"/>
                                <w:b/>
                                <w:sz w:val="32"/>
                                <w:szCs w:val="32"/>
                              </w:rPr>
                            </w:pPr>
                            <w:r>
                              <w:rPr>
                                <w:rFonts w:ascii="Arial" w:hAnsi="Arial" w:cs="Arial"/>
                                <w:b/>
                                <w:sz w:val="32"/>
                                <w:szCs w:val="32"/>
                              </w:rPr>
                              <w:t>Session 9</w:t>
                            </w:r>
                          </w:p>
                          <w:p w14:paraId="2048BCC1" w14:textId="77777777" w:rsidR="00296699" w:rsidRPr="00E709EF" w:rsidRDefault="00296699" w:rsidP="009131D0">
                            <w:pPr>
                              <w:jc w:val="center"/>
                              <w:rPr>
                                <w:rFonts w:ascii="Arial" w:hAnsi="Arial" w:cs="Arial"/>
                                <w:b/>
                                <w:sz w:val="32"/>
                                <w:szCs w:val="32"/>
                              </w:rPr>
                            </w:pPr>
                          </w:p>
                          <w:p w14:paraId="217DF063" w14:textId="45A2C4CB" w:rsidR="00497131" w:rsidRDefault="003E782A" w:rsidP="00E709EF">
                            <w:pPr>
                              <w:jc w:val="center"/>
                              <w:rPr>
                                <w:rFonts w:ascii="Arial" w:hAnsi="Arial" w:cs="Arial"/>
                                <w:b/>
                                <w:sz w:val="32"/>
                                <w:szCs w:val="32"/>
                              </w:rPr>
                            </w:pPr>
                            <w:r>
                              <w:rPr>
                                <w:rFonts w:ascii="Arial" w:hAnsi="Arial" w:cs="Arial"/>
                                <w:b/>
                                <w:sz w:val="32"/>
                                <w:szCs w:val="32"/>
                              </w:rPr>
                              <w:t>Financial Resources Working Group (FRWG)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left:0;text-align:left;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26F72506" w14:textId="77777777" w:rsidR="00497131" w:rsidRPr="00E709EF" w:rsidRDefault="00497131" w:rsidP="006B487F">
                      <w:pPr>
                        <w:jc w:val="center"/>
                        <w:rPr>
                          <w:rFonts w:ascii="Arial" w:hAnsi="Arial" w:cs="Arial"/>
                          <w:b/>
                          <w:sz w:val="32"/>
                          <w:szCs w:val="32"/>
                        </w:rPr>
                      </w:pPr>
                    </w:p>
                    <w:p w14:paraId="72541F7C" w14:textId="16381349"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004887B4" w14:textId="04245415" w:rsidR="006342D4" w:rsidRDefault="006342D4" w:rsidP="00C04FDA">
                      <w:pPr>
                        <w:jc w:val="center"/>
                        <w:rPr>
                          <w:rFonts w:ascii="Arial" w:hAnsi="Arial" w:cs="Arial"/>
                          <w:b/>
                          <w:sz w:val="32"/>
                          <w:szCs w:val="32"/>
                        </w:rPr>
                      </w:pPr>
                    </w:p>
                    <w:p w14:paraId="00BA6C52" w14:textId="2620CBEF" w:rsidR="006342D4" w:rsidRDefault="006342D4" w:rsidP="00C04FDA">
                      <w:pPr>
                        <w:jc w:val="center"/>
                        <w:rPr>
                          <w:rFonts w:ascii="Arial" w:hAnsi="Arial" w:cs="Arial"/>
                          <w:b/>
                          <w:sz w:val="32"/>
                          <w:szCs w:val="32"/>
                        </w:rPr>
                      </w:pPr>
                    </w:p>
                    <w:p w14:paraId="533C49E5" w14:textId="023AA5DE" w:rsidR="006342D4" w:rsidRPr="00E709EF" w:rsidRDefault="006342D4" w:rsidP="00C04FDA">
                      <w:pPr>
                        <w:jc w:val="center"/>
                        <w:rPr>
                          <w:rFonts w:ascii="Arial" w:hAnsi="Arial" w:cs="Arial"/>
                          <w:b/>
                          <w:sz w:val="32"/>
                          <w:szCs w:val="32"/>
                        </w:rPr>
                      </w:pPr>
                      <w:r>
                        <w:rPr>
                          <w:rFonts w:ascii="Arial" w:hAnsi="Arial" w:cs="Arial"/>
                          <w:b/>
                          <w:sz w:val="32"/>
                          <w:szCs w:val="32"/>
                        </w:rPr>
                        <w:t>Session 9</w:t>
                      </w:r>
                    </w:p>
                    <w:p w14:paraId="2048BCC1" w14:textId="77777777" w:rsidR="00296699" w:rsidRPr="00E709EF" w:rsidRDefault="00296699" w:rsidP="009131D0">
                      <w:pPr>
                        <w:jc w:val="center"/>
                        <w:rPr>
                          <w:rFonts w:ascii="Arial" w:hAnsi="Arial" w:cs="Arial"/>
                          <w:b/>
                          <w:sz w:val="32"/>
                          <w:szCs w:val="32"/>
                        </w:rPr>
                      </w:pPr>
                    </w:p>
                    <w:p w14:paraId="217DF063" w14:textId="45A2C4CB" w:rsidR="00497131" w:rsidRDefault="003E782A" w:rsidP="00E709EF">
                      <w:pPr>
                        <w:jc w:val="center"/>
                        <w:rPr>
                          <w:rFonts w:ascii="Arial" w:hAnsi="Arial" w:cs="Arial"/>
                          <w:b/>
                          <w:sz w:val="32"/>
                          <w:szCs w:val="32"/>
                        </w:rPr>
                      </w:pPr>
                      <w:r>
                        <w:rPr>
                          <w:rFonts w:ascii="Arial" w:hAnsi="Arial" w:cs="Arial"/>
                          <w:b/>
                          <w:sz w:val="32"/>
                          <w:szCs w:val="32"/>
                        </w:rPr>
                        <w:t>Financial Resources Working Group (FRWG)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914C87">
      <w:pPr>
        <w:jc w:val="both"/>
        <w:rPr>
          <w:rFonts w:ascii="Arial" w:hAnsi="Arial" w:cs="Arial"/>
          <w:lang w:val="en-GB"/>
        </w:rPr>
      </w:pPr>
    </w:p>
    <w:p w14:paraId="786A25C4" w14:textId="77777777" w:rsidR="00021D40" w:rsidRPr="004B04E4" w:rsidRDefault="00021D40" w:rsidP="00914C87">
      <w:pPr>
        <w:jc w:val="both"/>
        <w:rPr>
          <w:rFonts w:ascii="Arial" w:hAnsi="Arial" w:cs="Arial"/>
          <w:lang w:val="en-GB"/>
        </w:rPr>
      </w:pPr>
    </w:p>
    <w:p w14:paraId="1B37C4A5" w14:textId="77777777" w:rsidR="000335DC" w:rsidRDefault="000335DC" w:rsidP="00914C87">
      <w:pPr>
        <w:jc w:val="both"/>
        <w:rPr>
          <w:rFonts w:ascii="Arial" w:hAnsi="Arial" w:cs="Arial"/>
          <w:b/>
          <w:lang w:val="en-GB"/>
        </w:rPr>
      </w:pPr>
    </w:p>
    <w:p w14:paraId="457FABE8" w14:textId="77777777" w:rsidR="000335DC" w:rsidRDefault="000335DC" w:rsidP="00914C87">
      <w:pPr>
        <w:jc w:val="both"/>
        <w:rPr>
          <w:rFonts w:ascii="Arial" w:hAnsi="Arial" w:cs="Arial"/>
          <w:b/>
          <w:lang w:val="en-GB"/>
        </w:rPr>
      </w:pPr>
    </w:p>
    <w:p w14:paraId="4DF2C570" w14:textId="77777777" w:rsidR="000335DC" w:rsidRDefault="000335DC" w:rsidP="00914C87">
      <w:pPr>
        <w:jc w:val="center"/>
        <w:rPr>
          <w:rFonts w:ascii="Arial" w:hAnsi="Arial" w:cs="Arial"/>
          <w:b/>
          <w:lang w:val="en-GB"/>
        </w:rPr>
      </w:pPr>
    </w:p>
    <w:p w14:paraId="758D3193" w14:textId="77777777" w:rsidR="00021D40" w:rsidRPr="004B04E4" w:rsidRDefault="00237B7E" w:rsidP="00914C87">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914C87">
      <w:pPr>
        <w:jc w:val="center"/>
        <w:rPr>
          <w:rFonts w:ascii="Arial" w:hAnsi="Arial" w:cs="Arial"/>
          <w:b/>
          <w:lang w:val="en-GB"/>
        </w:rPr>
      </w:pPr>
    </w:p>
    <w:p w14:paraId="424EEBB6" w14:textId="77777777" w:rsidR="00FC0B4D" w:rsidRPr="00F468CC" w:rsidRDefault="005959C2" w:rsidP="00914C87">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914C87">
      <w:pPr>
        <w:jc w:val="center"/>
        <w:rPr>
          <w:rFonts w:ascii="Arial" w:hAnsi="Arial" w:cs="Arial"/>
          <w:b/>
        </w:rPr>
      </w:pPr>
      <w:r w:rsidRPr="005959C2">
        <w:rPr>
          <w:rFonts w:ascii="Arial" w:hAnsi="Arial" w:cs="Arial"/>
          <w:b/>
        </w:rPr>
        <w:t>Dusit Thani Manila Hotel</w:t>
      </w:r>
    </w:p>
    <w:p w14:paraId="1860D152" w14:textId="6FE52371" w:rsidR="00021D40" w:rsidRPr="004B04E4" w:rsidRDefault="005959C2" w:rsidP="00914C87">
      <w:pPr>
        <w:tabs>
          <w:tab w:val="left" w:pos="1825"/>
          <w:tab w:val="center" w:pos="4274"/>
        </w:tabs>
        <w:jc w:val="center"/>
        <w:rPr>
          <w:rFonts w:ascii="Arial" w:hAnsi="Arial" w:cs="Arial"/>
          <w:lang w:val="en-GB"/>
        </w:rPr>
      </w:pPr>
      <w:r w:rsidRPr="005959C2">
        <w:rPr>
          <w:rFonts w:ascii="Arial" w:hAnsi="Arial" w:cs="Arial"/>
          <w:b/>
        </w:rPr>
        <w:t>Makati City, Philippines</w:t>
      </w:r>
    </w:p>
    <w:p w14:paraId="554B016B" w14:textId="77777777" w:rsidR="00021D40" w:rsidRPr="004B04E4" w:rsidRDefault="00021D40" w:rsidP="00914C87">
      <w:pPr>
        <w:jc w:val="center"/>
        <w:rPr>
          <w:rFonts w:ascii="Arial" w:hAnsi="Arial" w:cs="Arial"/>
          <w:lang w:val="en-GB"/>
        </w:rPr>
      </w:pPr>
    </w:p>
    <w:p w14:paraId="39823C6A" w14:textId="77777777" w:rsidR="00021D40" w:rsidRPr="004B04E4" w:rsidRDefault="00021D40" w:rsidP="00914C87">
      <w:pPr>
        <w:jc w:val="center"/>
        <w:rPr>
          <w:rFonts w:ascii="Arial" w:hAnsi="Arial" w:cs="Arial"/>
          <w:lang w:val="en-GB"/>
        </w:rPr>
      </w:pPr>
    </w:p>
    <w:p w14:paraId="5454807A" w14:textId="77777777" w:rsidR="004D3C60" w:rsidRPr="004B04E4" w:rsidRDefault="004D3C60" w:rsidP="00914C87">
      <w:pPr>
        <w:jc w:val="center"/>
        <w:rPr>
          <w:rFonts w:ascii="Arial" w:hAnsi="Arial" w:cs="Arial"/>
          <w:lang w:val="en-GB"/>
        </w:rPr>
      </w:pPr>
    </w:p>
    <w:p w14:paraId="48D1BD95" w14:textId="77777777" w:rsidR="00203A14" w:rsidRPr="004B04E4" w:rsidRDefault="00203A14" w:rsidP="00914C87">
      <w:pPr>
        <w:pStyle w:val="Default"/>
        <w:jc w:val="center"/>
        <w:rPr>
          <w:lang w:val="en-GB"/>
        </w:rPr>
      </w:pPr>
    </w:p>
    <w:p w14:paraId="3162E13C" w14:textId="77777777" w:rsidR="00203A14" w:rsidRPr="004B04E4" w:rsidRDefault="00351E33" w:rsidP="00914C87">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914C87">
      <w:pPr>
        <w:pStyle w:val="Default"/>
        <w:jc w:val="center"/>
        <w:rPr>
          <w:lang w:val="en-GB"/>
        </w:rPr>
      </w:pPr>
      <w:r w:rsidRPr="004B04E4">
        <w:rPr>
          <w:b/>
          <w:bCs/>
          <w:lang w:val="en-GB"/>
        </w:rPr>
        <w:t>by</w:t>
      </w:r>
    </w:p>
    <w:p w14:paraId="53DB189D" w14:textId="77777777" w:rsidR="00CE24EC" w:rsidRPr="004B04E4" w:rsidRDefault="00203A14" w:rsidP="00914C87">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448DA4C1" w:rsidR="004D3C60" w:rsidRPr="004B04E4" w:rsidRDefault="00CE24EC" w:rsidP="00914C87">
      <w:pPr>
        <w:jc w:val="center"/>
        <w:rPr>
          <w:rFonts w:ascii="Arial" w:hAnsi="Arial" w:cs="Arial"/>
          <w:lang w:val="en-GB"/>
        </w:rPr>
      </w:pPr>
      <w:r w:rsidRPr="004B04E4">
        <w:rPr>
          <w:rFonts w:ascii="Arial" w:hAnsi="Arial" w:cs="Arial"/>
          <w:b/>
          <w:bCs/>
          <w:lang w:val="en-GB"/>
        </w:rPr>
        <w:t>t</w:t>
      </w:r>
      <w:r w:rsidR="00203A14" w:rsidRPr="004B04E4">
        <w:rPr>
          <w:rFonts w:ascii="Arial" w:hAnsi="Arial" w:cs="Arial"/>
          <w:b/>
          <w:bCs/>
          <w:lang w:val="en-GB"/>
        </w:rPr>
        <w:t>he Philippines, Solomon Islands, and Timor-Leste</w:t>
      </w:r>
    </w:p>
    <w:p w14:paraId="5D96D8B8" w14:textId="77777777" w:rsidR="004D3C60" w:rsidRPr="004B04E4" w:rsidRDefault="004D3C60" w:rsidP="00914C87">
      <w:pPr>
        <w:jc w:val="both"/>
        <w:rPr>
          <w:rFonts w:ascii="Arial" w:hAnsi="Arial" w:cs="Arial"/>
          <w:lang w:val="en-GB"/>
        </w:rPr>
      </w:pPr>
    </w:p>
    <w:p w14:paraId="7F04E6C7" w14:textId="77777777" w:rsidR="00235324" w:rsidRDefault="00235324" w:rsidP="00914C87">
      <w:pPr>
        <w:jc w:val="both"/>
        <w:rPr>
          <w:rFonts w:ascii="Arial" w:hAnsi="Arial" w:cs="Arial"/>
          <w:lang w:val="en-GB"/>
        </w:rPr>
      </w:pPr>
    </w:p>
    <w:p w14:paraId="7A165B9F" w14:textId="77777777" w:rsidR="005959C2" w:rsidRDefault="005959C2" w:rsidP="00914C87">
      <w:pPr>
        <w:jc w:val="both"/>
        <w:rPr>
          <w:rFonts w:ascii="Arial" w:hAnsi="Arial" w:cs="Arial"/>
          <w:lang w:val="en-GB"/>
        </w:rPr>
      </w:pPr>
    </w:p>
    <w:p w14:paraId="46C5E25D" w14:textId="77777777" w:rsidR="005959C2" w:rsidRDefault="005959C2" w:rsidP="00914C87">
      <w:pPr>
        <w:jc w:val="both"/>
        <w:rPr>
          <w:rFonts w:ascii="Arial" w:hAnsi="Arial" w:cs="Arial"/>
          <w:lang w:val="en-GB"/>
        </w:rPr>
      </w:pPr>
    </w:p>
    <w:p w14:paraId="3089F083" w14:textId="77777777" w:rsidR="005959C2" w:rsidRPr="004B04E4" w:rsidRDefault="005959C2" w:rsidP="00914C87">
      <w:pPr>
        <w:jc w:val="both"/>
        <w:rPr>
          <w:rFonts w:ascii="Arial" w:hAnsi="Arial" w:cs="Arial"/>
          <w:lang w:val="en-GB"/>
        </w:rPr>
      </w:pPr>
    </w:p>
    <w:p w14:paraId="36DCAC8E" w14:textId="77777777" w:rsidR="00FC46CF" w:rsidRPr="004B04E4" w:rsidRDefault="00FC46CF" w:rsidP="0048435C">
      <w:pPr>
        <w:pStyle w:val="Default"/>
        <w:spacing w:line="288" w:lineRule="auto"/>
        <w:jc w:val="both"/>
        <w:rPr>
          <w:lang w:val="en-GB"/>
        </w:rPr>
      </w:pPr>
      <w:r w:rsidRPr="004B04E4">
        <w:rPr>
          <w:b/>
          <w:bCs/>
          <w:lang w:val="en-GB"/>
        </w:rPr>
        <w:lastRenderedPageBreak/>
        <w:t>I. Background</w:t>
      </w:r>
    </w:p>
    <w:p w14:paraId="4AD48AB1" w14:textId="77777777" w:rsidR="00C01BCC" w:rsidRPr="004B04E4" w:rsidRDefault="00C01BCC" w:rsidP="0048435C">
      <w:pPr>
        <w:pStyle w:val="Default"/>
        <w:spacing w:line="288" w:lineRule="auto"/>
        <w:jc w:val="both"/>
        <w:rPr>
          <w:lang w:val="en-GB"/>
        </w:rPr>
      </w:pPr>
    </w:p>
    <w:p w14:paraId="664D5D96" w14:textId="3695740B" w:rsidR="0078540B" w:rsidRDefault="006443F7" w:rsidP="0048435C">
      <w:pPr>
        <w:pStyle w:val="Default"/>
        <w:spacing w:line="288" w:lineRule="auto"/>
        <w:jc w:val="both"/>
        <w:rPr>
          <w:rFonts w:eastAsia="Calibri"/>
          <w:bCs/>
          <w:lang w:val="en-GB"/>
        </w:rPr>
      </w:pPr>
      <w:r>
        <w:rPr>
          <w:rFonts w:eastAsia="Calibri"/>
          <w:bCs/>
          <w:lang w:val="en-GB"/>
        </w:rPr>
        <w:t>Since the last 12</w:t>
      </w:r>
      <w:r w:rsidRPr="006443F7">
        <w:rPr>
          <w:rFonts w:eastAsia="Calibri"/>
          <w:bCs/>
          <w:vertAlign w:val="superscript"/>
          <w:lang w:val="en-GB"/>
        </w:rPr>
        <w:t>th</w:t>
      </w:r>
      <w:r>
        <w:rPr>
          <w:rFonts w:eastAsia="Calibri"/>
          <w:bCs/>
          <w:lang w:val="en-GB"/>
        </w:rPr>
        <w:t xml:space="preserve"> Senior Officials’ Meeting in Port Moresby, Papua New Guinea, the Regional Secretariat worked with the Financial Resources Working Group (FRWG); Development Partners and NCCs to carry out the decisions.</w:t>
      </w:r>
    </w:p>
    <w:p w14:paraId="41AEC2F1" w14:textId="28D3038F" w:rsidR="006443F7" w:rsidRDefault="006443F7" w:rsidP="0048435C">
      <w:pPr>
        <w:pStyle w:val="Default"/>
        <w:spacing w:line="288" w:lineRule="auto"/>
        <w:jc w:val="both"/>
        <w:rPr>
          <w:rFonts w:eastAsia="Calibri"/>
          <w:bCs/>
          <w:lang w:val="en-GB"/>
        </w:rPr>
      </w:pPr>
    </w:p>
    <w:p w14:paraId="423C5BF1" w14:textId="224FF55F" w:rsidR="006443F7" w:rsidRDefault="006443F7" w:rsidP="0048435C">
      <w:pPr>
        <w:pStyle w:val="Default"/>
        <w:spacing w:line="288" w:lineRule="auto"/>
        <w:jc w:val="both"/>
        <w:rPr>
          <w:rFonts w:eastAsia="Calibri"/>
          <w:bCs/>
          <w:lang w:val="en-GB"/>
        </w:rPr>
      </w:pPr>
      <w:r>
        <w:rPr>
          <w:rFonts w:eastAsia="Calibri"/>
          <w:bCs/>
          <w:lang w:val="en-GB"/>
        </w:rPr>
        <w:t>To recap, SOM-12 decisions with reference to the Financial Resources Working Group (FRWG) are as follows:</w:t>
      </w:r>
    </w:p>
    <w:p w14:paraId="5D6B6F20" w14:textId="77777777" w:rsidR="006443F7" w:rsidRPr="006443F7" w:rsidRDefault="006443F7" w:rsidP="0048435C">
      <w:pPr>
        <w:autoSpaceDE w:val="0"/>
        <w:autoSpaceDN w:val="0"/>
        <w:adjustRightInd w:val="0"/>
        <w:spacing w:line="288" w:lineRule="auto"/>
        <w:jc w:val="both"/>
        <w:rPr>
          <w:rFonts w:ascii="Arial" w:hAnsi="Arial" w:cs="Arial"/>
          <w:color w:val="000000"/>
          <w:lang w:val="en-GB"/>
        </w:rPr>
      </w:pPr>
    </w:p>
    <w:p w14:paraId="7D930F2A" w14:textId="6DDC0623" w:rsidR="006443F7" w:rsidRPr="006443F7" w:rsidRDefault="00914C87" w:rsidP="0048435C">
      <w:pPr>
        <w:autoSpaceDE w:val="0"/>
        <w:autoSpaceDN w:val="0"/>
        <w:adjustRightInd w:val="0"/>
        <w:spacing w:after="160" w:line="288" w:lineRule="auto"/>
        <w:jc w:val="both"/>
        <w:rPr>
          <w:rFonts w:ascii="Arial" w:hAnsi="Arial" w:cs="Arial"/>
          <w:b/>
          <w:color w:val="000000"/>
          <w:lang w:val="en-GB"/>
        </w:rPr>
      </w:pPr>
      <w:r w:rsidRPr="00914C87">
        <w:rPr>
          <w:rFonts w:ascii="Arial" w:hAnsi="Arial" w:cs="Arial"/>
          <w:b/>
          <w:iCs/>
          <w:color w:val="000000"/>
          <w:lang w:val="en-GB"/>
        </w:rPr>
        <w:t xml:space="preserve">Decision </w:t>
      </w:r>
      <w:r w:rsidR="006443F7" w:rsidRPr="006443F7">
        <w:rPr>
          <w:rFonts w:ascii="Arial" w:hAnsi="Arial" w:cs="Arial"/>
          <w:b/>
          <w:iCs/>
          <w:color w:val="000000"/>
          <w:lang w:val="en-GB"/>
        </w:rPr>
        <w:t xml:space="preserve">11.2. Financial Resources Working Group (FRWG) </w:t>
      </w:r>
    </w:p>
    <w:p w14:paraId="0DB9B7B8" w14:textId="77777777" w:rsidR="006443F7" w:rsidRPr="006443F7" w:rsidRDefault="006443F7" w:rsidP="0048435C">
      <w:pPr>
        <w:autoSpaceDE w:val="0"/>
        <w:autoSpaceDN w:val="0"/>
        <w:adjustRightInd w:val="0"/>
        <w:spacing w:after="316" w:line="288" w:lineRule="auto"/>
        <w:ind w:left="720"/>
        <w:jc w:val="both"/>
        <w:rPr>
          <w:rFonts w:ascii="Arial" w:hAnsi="Arial" w:cs="Arial"/>
          <w:color w:val="000000"/>
          <w:lang w:val="en-GB"/>
        </w:rPr>
      </w:pPr>
      <w:r w:rsidRPr="006443F7">
        <w:rPr>
          <w:rFonts w:ascii="Arial" w:hAnsi="Arial" w:cs="Arial"/>
          <w:iCs/>
          <w:color w:val="000000"/>
          <w:lang w:val="en-GB"/>
        </w:rPr>
        <w:t xml:space="preserve">11.2.1. </w:t>
      </w:r>
      <w:r w:rsidRPr="006443F7">
        <w:rPr>
          <w:rFonts w:ascii="Arial" w:hAnsi="Arial" w:cs="Arial"/>
          <w:color w:val="000000"/>
          <w:lang w:val="en-GB"/>
        </w:rPr>
        <w:t xml:space="preserve">Endorsed the amendments made to the initial activities of the Project Preparation Facility (PPF) to be undertaken by the Regional Secretariat upon appointment of the Project Initiation Specialist; </w:t>
      </w:r>
    </w:p>
    <w:p w14:paraId="28C9D241" w14:textId="77777777" w:rsidR="006443F7" w:rsidRPr="006443F7" w:rsidRDefault="006443F7" w:rsidP="0048435C">
      <w:pPr>
        <w:autoSpaceDE w:val="0"/>
        <w:autoSpaceDN w:val="0"/>
        <w:adjustRightInd w:val="0"/>
        <w:spacing w:after="316" w:line="288" w:lineRule="auto"/>
        <w:ind w:left="720"/>
        <w:jc w:val="both"/>
        <w:rPr>
          <w:rFonts w:ascii="Arial" w:hAnsi="Arial" w:cs="Arial"/>
          <w:color w:val="000000"/>
          <w:lang w:val="en-GB"/>
        </w:rPr>
      </w:pPr>
      <w:r w:rsidRPr="006443F7">
        <w:rPr>
          <w:rFonts w:ascii="Arial" w:hAnsi="Arial" w:cs="Arial"/>
          <w:iCs/>
          <w:color w:val="000000"/>
          <w:lang w:val="en-GB"/>
        </w:rPr>
        <w:t xml:space="preserve">11.2.2. </w:t>
      </w:r>
      <w:r w:rsidRPr="006443F7">
        <w:rPr>
          <w:rFonts w:ascii="Arial" w:hAnsi="Arial" w:cs="Arial"/>
          <w:color w:val="000000"/>
          <w:lang w:val="en-GB"/>
        </w:rPr>
        <w:t xml:space="preserve">Endorsed FRWG recommendations towards the establishment of the CTI Regional Fund upon completion of the NPOA Costing based on the latest NPOA; </w:t>
      </w:r>
    </w:p>
    <w:p w14:paraId="6193DB3B" w14:textId="77777777" w:rsidR="006443F7" w:rsidRPr="006443F7" w:rsidRDefault="006443F7" w:rsidP="0048435C">
      <w:pPr>
        <w:autoSpaceDE w:val="0"/>
        <w:autoSpaceDN w:val="0"/>
        <w:adjustRightInd w:val="0"/>
        <w:spacing w:after="316" w:line="288" w:lineRule="auto"/>
        <w:ind w:left="720"/>
        <w:jc w:val="both"/>
        <w:rPr>
          <w:rFonts w:ascii="Arial" w:hAnsi="Arial" w:cs="Arial"/>
          <w:color w:val="000000"/>
          <w:lang w:val="en-GB"/>
        </w:rPr>
      </w:pPr>
      <w:r w:rsidRPr="006443F7">
        <w:rPr>
          <w:rFonts w:ascii="Arial" w:hAnsi="Arial" w:cs="Arial"/>
          <w:iCs/>
          <w:color w:val="000000"/>
          <w:lang w:val="en-GB"/>
        </w:rPr>
        <w:t xml:space="preserve">11.2.3. </w:t>
      </w:r>
      <w:r w:rsidRPr="006443F7">
        <w:rPr>
          <w:rFonts w:ascii="Arial" w:hAnsi="Arial" w:cs="Arial"/>
          <w:color w:val="000000"/>
          <w:lang w:val="en-GB"/>
        </w:rPr>
        <w:t xml:space="preserve">Endorsed the Regional Secretariat to facilitate the process of scoping and design activities to package “showcase” projects for potential funding under the initial activities to be undertaken by Regional Secretariat (refer to decision 1 above); </w:t>
      </w:r>
    </w:p>
    <w:p w14:paraId="004E5B8D" w14:textId="77777777" w:rsidR="006443F7" w:rsidRPr="006443F7" w:rsidRDefault="006443F7" w:rsidP="0048435C">
      <w:pPr>
        <w:autoSpaceDE w:val="0"/>
        <w:autoSpaceDN w:val="0"/>
        <w:adjustRightInd w:val="0"/>
        <w:spacing w:after="316" w:line="288" w:lineRule="auto"/>
        <w:ind w:left="720"/>
        <w:jc w:val="both"/>
        <w:rPr>
          <w:rFonts w:ascii="Arial" w:hAnsi="Arial" w:cs="Arial"/>
          <w:color w:val="000000"/>
          <w:lang w:val="en-GB"/>
        </w:rPr>
      </w:pPr>
      <w:r w:rsidRPr="006443F7">
        <w:rPr>
          <w:rFonts w:ascii="Arial" w:hAnsi="Arial" w:cs="Arial"/>
          <w:iCs/>
          <w:color w:val="000000"/>
          <w:lang w:val="en-GB"/>
        </w:rPr>
        <w:t xml:space="preserve">11.2.4. </w:t>
      </w:r>
      <w:r w:rsidRPr="006443F7">
        <w:rPr>
          <w:rFonts w:ascii="Arial" w:hAnsi="Arial" w:cs="Arial"/>
          <w:color w:val="000000"/>
          <w:lang w:val="en-GB"/>
        </w:rPr>
        <w:t xml:space="preserve">Endorsed the Regional Secretariat to communicate and encourage Philippines and Indonesia to confirm candidate “showcase” sites for potential funding under the initial activities to be undertaken by Regional Secretariat (refer to decision 1 above); and </w:t>
      </w:r>
    </w:p>
    <w:p w14:paraId="591AE007" w14:textId="77777777" w:rsidR="006443F7" w:rsidRPr="006443F7" w:rsidRDefault="006443F7" w:rsidP="0048435C">
      <w:pPr>
        <w:autoSpaceDE w:val="0"/>
        <w:autoSpaceDN w:val="0"/>
        <w:adjustRightInd w:val="0"/>
        <w:spacing w:line="288" w:lineRule="auto"/>
        <w:ind w:left="720"/>
        <w:jc w:val="both"/>
        <w:rPr>
          <w:rFonts w:ascii="Arial" w:hAnsi="Arial" w:cs="Arial"/>
          <w:color w:val="000000"/>
          <w:lang w:val="en-GB"/>
        </w:rPr>
      </w:pPr>
      <w:r w:rsidRPr="006443F7">
        <w:rPr>
          <w:rFonts w:ascii="Arial" w:hAnsi="Arial" w:cs="Arial"/>
          <w:iCs/>
          <w:color w:val="000000"/>
          <w:lang w:val="en-GB"/>
        </w:rPr>
        <w:t xml:space="preserve">11.2.5. </w:t>
      </w:r>
      <w:r w:rsidRPr="006443F7">
        <w:rPr>
          <w:rFonts w:ascii="Arial" w:hAnsi="Arial" w:cs="Arial"/>
          <w:color w:val="000000"/>
          <w:lang w:val="en-GB"/>
        </w:rPr>
        <w:t xml:space="preserve">Acknowledged the status of the ADB / GEF concept on “Scaling </w:t>
      </w:r>
      <w:r w:rsidRPr="006443F7">
        <w:rPr>
          <w:rFonts w:ascii="Arial" w:hAnsi="Arial" w:cs="Arial"/>
          <w:iCs/>
          <w:color w:val="000000"/>
          <w:lang w:val="en-GB"/>
        </w:rPr>
        <w:t>Up Investments and Sustainable Financing Mechanisms in Coral Triangle</w:t>
      </w:r>
      <w:r w:rsidRPr="006443F7">
        <w:rPr>
          <w:rFonts w:ascii="Arial" w:hAnsi="Arial" w:cs="Arial"/>
          <w:color w:val="000000"/>
          <w:lang w:val="en-GB"/>
        </w:rPr>
        <w:t xml:space="preserve">”. </w:t>
      </w:r>
    </w:p>
    <w:p w14:paraId="4B9A8381" w14:textId="3DAC5A17" w:rsidR="006443F7" w:rsidRPr="006443F7" w:rsidRDefault="006443F7" w:rsidP="0048435C">
      <w:pPr>
        <w:pStyle w:val="Default"/>
        <w:spacing w:line="288" w:lineRule="auto"/>
        <w:jc w:val="both"/>
        <w:rPr>
          <w:rFonts w:eastAsia="Calibri"/>
          <w:bCs/>
          <w:lang w:val="en-GB"/>
        </w:rPr>
      </w:pPr>
    </w:p>
    <w:p w14:paraId="1808F8E1" w14:textId="03206D57" w:rsidR="006443F7" w:rsidRPr="006443F7" w:rsidRDefault="006443F7" w:rsidP="0048435C">
      <w:pPr>
        <w:pStyle w:val="Default"/>
        <w:spacing w:line="288" w:lineRule="auto"/>
        <w:jc w:val="both"/>
        <w:rPr>
          <w:rFonts w:eastAsia="Calibri"/>
          <w:bCs/>
          <w:lang w:val="en-GB"/>
        </w:rPr>
      </w:pPr>
    </w:p>
    <w:p w14:paraId="0E0F53E9" w14:textId="32067233" w:rsidR="006443F7" w:rsidRPr="006443F7" w:rsidRDefault="00DE1346" w:rsidP="0048435C">
      <w:pPr>
        <w:pStyle w:val="Default"/>
        <w:spacing w:after="160" w:line="288" w:lineRule="auto"/>
        <w:jc w:val="both"/>
        <w:rPr>
          <w:rFonts w:eastAsia="Calibri"/>
          <w:bCs/>
          <w:lang w:val="en-GB"/>
        </w:rPr>
      </w:pPr>
      <w:r>
        <w:rPr>
          <w:rFonts w:eastAsia="Calibri"/>
          <w:bCs/>
          <w:lang w:val="en-GB"/>
        </w:rPr>
        <w:t xml:space="preserve">Following SOM-12, the </w:t>
      </w:r>
      <w:r w:rsidR="0048435C">
        <w:rPr>
          <w:rFonts w:eastAsia="Calibri"/>
          <w:bCs/>
          <w:lang w:val="en-GB"/>
        </w:rPr>
        <w:t>Regional Secretariat facilitated</w:t>
      </w:r>
      <w:r>
        <w:rPr>
          <w:rFonts w:eastAsia="Calibri"/>
          <w:bCs/>
          <w:lang w:val="en-GB"/>
        </w:rPr>
        <w:t xml:space="preserve"> the Financial Resources Working Group (FRWG) meeting on 29</w:t>
      </w:r>
      <w:r w:rsidRPr="00DE1346">
        <w:rPr>
          <w:rFonts w:eastAsia="Calibri"/>
          <w:bCs/>
          <w:vertAlign w:val="superscript"/>
          <w:lang w:val="en-GB"/>
        </w:rPr>
        <w:t>th</w:t>
      </w:r>
      <w:r>
        <w:rPr>
          <w:rFonts w:eastAsia="Calibri"/>
          <w:bCs/>
          <w:lang w:val="en-GB"/>
        </w:rPr>
        <w:t xml:space="preserve"> March 2017 in Manila, Philippines. The recommendations made during the meeting are as follows:</w:t>
      </w:r>
    </w:p>
    <w:p w14:paraId="4EA77D9D"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 xml:space="preserve">Acknowledged the challenges to implement the recommendations in the Financial Architecture Report with regards to the Business Development Unit (BDU) / Project Preparation Facility (PPF), the Regional Trust Fund and Showcase Projects without the appointment of the Project Initiation Specialist (PIS). Once the Project Initiation Specialist (PIS) is appointed, the PIS shall develop workplan, timeline </w:t>
      </w:r>
      <w:r w:rsidRPr="006443F7">
        <w:rPr>
          <w:rFonts w:ascii="Arial" w:eastAsia="Yu Gothic UI Semibold" w:hAnsi="Arial" w:cs="Arial"/>
          <w:sz w:val="24"/>
          <w:szCs w:val="24"/>
        </w:rPr>
        <w:lastRenderedPageBreak/>
        <w:t>and procedures for the establishment of the Project Preparation Facility (PPF) and implementation of the initial activities</w:t>
      </w:r>
      <w:r w:rsidRPr="006443F7">
        <w:rPr>
          <w:rStyle w:val="FootnoteReference"/>
          <w:rFonts w:ascii="Arial" w:eastAsia="Yu Gothic UI Semibold" w:hAnsi="Arial" w:cs="Arial"/>
          <w:sz w:val="24"/>
          <w:szCs w:val="24"/>
        </w:rPr>
        <w:footnoteReference w:id="1"/>
      </w:r>
      <w:r w:rsidRPr="006443F7">
        <w:rPr>
          <w:rFonts w:ascii="Arial" w:eastAsia="Yu Gothic UI Semibold" w:hAnsi="Arial" w:cs="Arial"/>
          <w:sz w:val="24"/>
          <w:szCs w:val="24"/>
        </w:rPr>
        <w:t xml:space="preserve">; </w:t>
      </w:r>
    </w:p>
    <w:p w14:paraId="0A8AC322"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Acknowledged the issue of continued employment of the Project Initiation Specialist (PIS)/ Financial Advisor (FA) taking into consideration that the appointment shall be for a period of six (6) months; which shall end in September 2017, as this position is supported through the Asian Development Bank’s Technical Assistance on “Coastal and Marine Resources Management in the Coral Triangle – Southeast Asia Project (RETA 7813), which shall end by 2017;</w:t>
      </w:r>
    </w:p>
    <w:p w14:paraId="086CB3B1" w14:textId="77777777" w:rsidR="006443F7" w:rsidRPr="006443F7" w:rsidRDefault="006443F7" w:rsidP="0048435C">
      <w:pPr>
        <w:pStyle w:val="NoSpacing"/>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There are two (2) options that can be considered to ensure the continued services of the PIS / FA; there are:</w:t>
      </w:r>
    </w:p>
    <w:p w14:paraId="4D363397"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rPr>
        <w:t>To seek for further support from other Development Partners; or</w:t>
      </w:r>
    </w:p>
    <w:p w14:paraId="3365FABA"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rPr>
        <w:t>To consider this position to be absorbed as part of the Operational Plan and Budget of the Regional Secretariat.</w:t>
      </w:r>
    </w:p>
    <w:p w14:paraId="6A50875C"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Urged the CTI-CFF Member States to complete the National Plan of Action (NPOA) Costing and its analysis to identify financial gaps and thus be in a better position to seek for financial support;</w:t>
      </w:r>
    </w:p>
    <w:p w14:paraId="2E65D3CD"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Recognized that CTI-CFF Member States may identify its own Showcase sites, while continuing its NPOA Costing exercise;</w:t>
      </w:r>
    </w:p>
    <w:p w14:paraId="137B3139"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Recognized the need of specialists in the CTI-CFF Pacific Member States to assist in the review process of their respective National Plan of Actions (NPOAs);</w:t>
      </w:r>
    </w:p>
    <w:p w14:paraId="781C11B3"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 xml:space="preserve">Note and take into consideration the support offered by the Asian Development Bank (ADB) to assist the FRWG in facilitating briefing sessions to understand GEF funding application procedures; </w:t>
      </w:r>
    </w:p>
    <w:p w14:paraId="67DFF07E" w14:textId="77777777" w:rsidR="006443F7" w:rsidRPr="006443F7" w:rsidRDefault="006443F7" w:rsidP="0048435C">
      <w:pPr>
        <w:pStyle w:val="NoSpacing"/>
        <w:numPr>
          <w:ilvl w:val="0"/>
          <w:numId w:val="45"/>
        </w:numPr>
        <w:spacing w:after="120" w:line="288" w:lineRule="auto"/>
        <w:ind w:left="1080"/>
        <w:jc w:val="both"/>
        <w:rPr>
          <w:rFonts w:ascii="Arial" w:eastAsia="Yu Gothic UI Semibold" w:hAnsi="Arial" w:cs="Arial"/>
          <w:sz w:val="24"/>
          <w:szCs w:val="24"/>
        </w:rPr>
      </w:pPr>
      <w:r w:rsidRPr="006443F7">
        <w:rPr>
          <w:rFonts w:ascii="Arial" w:eastAsia="Yu Gothic UI Semibold" w:hAnsi="Arial" w:cs="Arial"/>
          <w:sz w:val="24"/>
          <w:szCs w:val="24"/>
        </w:rPr>
        <w:t xml:space="preserve">In term of ADB’s support for the CTI-CFF Pacific countries: </w:t>
      </w:r>
    </w:p>
    <w:p w14:paraId="151A0457" w14:textId="77777777" w:rsidR="006443F7" w:rsidRPr="006443F7" w:rsidRDefault="006443F7" w:rsidP="0048435C">
      <w:pPr>
        <w:pStyle w:val="NoSpacing"/>
        <w:numPr>
          <w:ilvl w:val="2"/>
          <w:numId w:val="46"/>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rPr>
        <w:t>Noted that the CTI-CFF Regional Secretariat shall communicate with Pacific Member States on the importance of continuing the ADB-RETA 7753 on</w:t>
      </w:r>
      <w:r w:rsidRPr="006443F7">
        <w:rPr>
          <w:rFonts w:ascii="Arial" w:eastAsia="Yu Gothic UI Semibold" w:hAnsi="Arial" w:cs="Arial"/>
          <w:b/>
          <w:bCs/>
          <w:color w:val="333333"/>
          <w:sz w:val="24"/>
          <w:szCs w:val="24"/>
          <w:shd w:val="clear" w:color="auto" w:fill="FFFFFF"/>
        </w:rPr>
        <w:t xml:space="preserve"> “Strengthening Coastal and Marine Resources Management in the Coral Triangle of the Pacific” </w:t>
      </w:r>
      <w:r w:rsidRPr="006443F7">
        <w:rPr>
          <w:rFonts w:ascii="Arial" w:eastAsia="Yu Gothic UI Semibold" w:hAnsi="Arial" w:cs="Arial"/>
          <w:sz w:val="24"/>
          <w:szCs w:val="24"/>
        </w:rPr>
        <w:t>which ends by end of 2017;</w:t>
      </w:r>
    </w:p>
    <w:p w14:paraId="22254D08" w14:textId="77777777" w:rsidR="006443F7" w:rsidRPr="006443F7" w:rsidRDefault="006443F7" w:rsidP="0048435C">
      <w:pPr>
        <w:pStyle w:val="NoSpacing"/>
        <w:numPr>
          <w:ilvl w:val="2"/>
          <w:numId w:val="46"/>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rPr>
        <w:lastRenderedPageBreak/>
        <w:t>Noted that most CTI-CFF Pacific Member States have limited capacity to undertake its own national level NPOA costing exercises;</w:t>
      </w:r>
    </w:p>
    <w:p w14:paraId="0C08F411" w14:textId="77777777" w:rsidR="006443F7" w:rsidRPr="006443F7" w:rsidRDefault="006443F7" w:rsidP="0048435C">
      <w:pPr>
        <w:pStyle w:val="NoSpacing"/>
        <w:numPr>
          <w:ilvl w:val="2"/>
          <w:numId w:val="46"/>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rPr>
        <w:t>Acknowledged the efforts of CTI-CFF Regional Secretariat to encourage the administration of ADB to align the supports for both Southeast Asian and Pacific Member States to strengthen ADB’s support to CTI-CFF as a region.</w:t>
      </w:r>
    </w:p>
    <w:p w14:paraId="4E87E094" w14:textId="77777777" w:rsidR="006443F7" w:rsidRPr="006443F7" w:rsidRDefault="006443F7" w:rsidP="0048435C">
      <w:pPr>
        <w:pStyle w:val="NoSpacing"/>
        <w:numPr>
          <w:ilvl w:val="0"/>
          <w:numId w:val="45"/>
        </w:numPr>
        <w:spacing w:after="120" w:line="288" w:lineRule="auto"/>
        <w:ind w:left="1058" w:hanging="425"/>
        <w:jc w:val="both"/>
        <w:rPr>
          <w:rFonts w:ascii="Arial" w:eastAsia="Yu Gothic UI Semibold" w:hAnsi="Arial" w:cs="Arial"/>
          <w:sz w:val="24"/>
          <w:szCs w:val="24"/>
        </w:rPr>
      </w:pPr>
      <w:r w:rsidRPr="006443F7">
        <w:rPr>
          <w:rFonts w:ascii="Arial" w:eastAsia="Yu Gothic UI Semibold" w:hAnsi="Arial" w:cs="Arial"/>
          <w:sz w:val="24"/>
          <w:szCs w:val="24"/>
        </w:rPr>
        <w:t>Noted the planning for a Partners’ Meeting from 22</w:t>
      </w:r>
      <w:r w:rsidRPr="006443F7">
        <w:rPr>
          <w:rFonts w:ascii="Arial" w:eastAsia="Yu Gothic UI Semibold" w:hAnsi="Arial" w:cs="Arial"/>
          <w:sz w:val="24"/>
          <w:szCs w:val="24"/>
          <w:vertAlign w:val="superscript"/>
        </w:rPr>
        <w:t>nd</w:t>
      </w:r>
      <w:r w:rsidRPr="006443F7">
        <w:rPr>
          <w:rFonts w:ascii="Arial" w:eastAsia="Yu Gothic UI Semibold" w:hAnsi="Arial" w:cs="Arial"/>
          <w:sz w:val="24"/>
          <w:szCs w:val="24"/>
        </w:rPr>
        <w:t xml:space="preserve"> to 23</w:t>
      </w:r>
      <w:r w:rsidRPr="006443F7">
        <w:rPr>
          <w:rFonts w:ascii="Arial" w:eastAsia="Yu Gothic UI Semibold" w:hAnsi="Arial" w:cs="Arial"/>
          <w:sz w:val="24"/>
          <w:szCs w:val="24"/>
          <w:vertAlign w:val="superscript"/>
        </w:rPr>
        <w:t>rd</w:t>
      </w:r>
      <w:r w:rsidRPr="006443F7">
        <w:rPr>
          <w:rFonts w:ascii="Arial" w:eastAsia="Yu Gothic UI Semibold" w:hAnsi="Arial" w:cs="Arial"/>
          <w:sz w:val="24"/>
          <w:szCs w:val="24"/>
        </w:rPr>
        <w:t xml:space="preserve"> May 2017 in Manado, Indonesia;</w:t>
      </w:r>
    </w:p>
    <w:p w14:paraId="4DBF74A4" w14:textId="77777777" w:rsidR="006443F7" w:rsidRPr="006443F7" w:rsidRDefault="006443F7" w:rsidP="0048435C">
      <w:pPr>
        <w:pStyle w:val="NoSpacing"/>
        <w:numPr>
          <w:ilvl w:val="0"/>
          <w:numId w:val="45"/>
        </w:numPr>
        <w:spacing w:after="120" w:line="288" w:lineRule="auto"/>
        <w:ind w:left="1058" w:hanging="425"/>
        <w:jc w:val="both"/>
        <w:rPr>
          <w:rFonts w:ascii="Arial" w:eastAsia="Yu Gothic UI Semibold" w:hAnsi="Arial" w:cs="Arial"/>
          <w:sz w:val="24"/>
          <w:szCs w:val="24"/>
        </w:rPr>
      </w:pPr>
      <w:r w:rsidRPr="006443F7">
        <w:rPr>
          <w:rFonts w:ascii="Arial" w:eastAsia="Yu Gothic UI Semibold" w:hAnsi="Arial" w:cs="Arial"/>
          <w:sz w:val="24"/>
          <w:szCs w:val="24"/>
        </w:rPr>
        <w:t>Noted the processes of the establishment of the FRWG and the urgency to have the Terms of Reference (</w:t>
      </w:r>
      <w:proofErr w:type="spellStart"/>
      <w:r w:rsidRPr="006443F7">
        <w:rPr>
          <w:rFonts w:ascii="Arial" w:eastAsia="Yu Gothic UI Semibold" w:hAnsi="Arial" w:cs="Arial"/>
          <w:sz w:val="24"/>
          <w:szCs w:val="24"/>
        </w:rPr>
        <w:t>ToR</w:t>
      </w:r>
      <w:proofErr w:type="spellEnd"/>
      <w:r w:rsidRPr="006443F7">
        <w:rPr>
          <w:rFonts w:ascii="Arial" w:eastAsia="Yu Gothic UI Semibold" w:hAnsi="Arial" w:cs="Arial"/>
          <w:sz w:val="24"/>
          <w:szCs w:val="24"/>
        </w:rPr>
        <w:t xml:space="preserve">) for FRWG. In this regard, the Meeting agreed on the draft outline of the </w:t>
      </w:r>
      <w:proofErr w:type="spellStart"/>
      <w:r w:rsidRPr="006443F7">
        <w:rPr>
          <w:rFonts w:ascii="Arial" w:eastAsia="Yu Gothic UI Semibold" w:hAnsi="Arial" w:cs="Arial"/>
          <w:sz w:val="24"/>
          <w:szCs w:val="24"/>
        </w:rPr>
        <w:t>ToR</w:t>
      </w:r>
      <w:proofErr w:type="spellEnd"/>
      <w:r w:rsidRPr="006443F7">
        <w:rPr>
          <w:rFonts w:ascii="Arial" w:eastAsia="Yu Gothic UI Semibold" w:hAnsi="Arial" w:cs="Arial"/>
          <w:sz w:val="24"/>
          <w:szCs w:val="24"/>
        </w:rPr>
        <w:t xml:space="preserve"> as attached for ready reference. The Meeting requested the CTI-CFF Member States to submit their input on the draft </w:t>
      </w:r>
      <w:proofErr w:type="spellStart"/>
      <w:r w:rsidRPr="006443F7">
        <w:rPr>
          <w:rFonts w:ascii="Arial" w:eastAsia="Yu Gothic UI Semibold" w:hAnsi="Arial" w:cs="Arial"/>
          <w:sz w:val="24"/>
          <w:szCs w:val="24"/>
        </w:rPr>
        <w:t>ToR</w:t>
      </w:r>
      <w:proofErr w:type="spellEnd"/>
      <w:r w:rsidRPr="006443F7">
        <w:rPr>
          <w:rFonts w:ascii="Arial" w:eastAsia="Yu Gothic UI Semibold" w:hAnsi="Arial" w:cs="Arial"/>
          <w:sz w:val="24"/>
          <w:szCs w:val="24"/>
        </w:rPr>
        <w:t xml:space="preserve"> within fourteen (14) working days (by 21</w:t>
      </w:r>
      <w:r w:rsidRPr="006443F7">
        <w:rPr>
          <w:rFonts w:ascii="Arial" w:eastAsia="Yu Gothic UI Semibold" w:hAnsi="Arial" w:cs="Arial"/>
          <w:sz w:val="24"/>
          <w:szCs w:val="24"/>
          <w:vertAlign w:val="superscript"/>
        </w:rPr>
        <w:t>st</w:t>
      </w:r>
      <w:r w:rsidRPr="006443F7">
        <w:rPr>
          <w:rFonts w:ascii="Arial" w:eastAsia="Yu Gothic UI Semibold" w:hAnsi="Arial" w:cs="Arial"/>
          <w:sz w:val="24"/>
          <w:szCs w:val="24"/>
        </w:rPr>
        <w:t xml:space="preserve"> April 2017) to the Regional Secretariat for collation to produce a comprehensive TOR. The collated draft </w:t>
      </w:r>
      <w:proofErr w:type="spellStart"/>
      <w:r w:rsidRPr="006443F7">
        <w:rPr>
          <w:rFonts w:ascii="Arial" w:eastAsia="Yu Gothic UI Semibold" w:hAnsi="Arial" w:cs="Arial"/>
          <w:sz w:val="24"/>
          <w:szCs w:val="24"/>
        </w:rPr>
        <w:t>ToR</w:t>
      </w:r>
      <w:proofErr w:type="spellEnd"/>
      <w:r w:rsidRPr="006443F7">
        <w:rPr>
          <w:rFonts w:ascii="Arial" w:eastAsia="Yu Gothic UI Semibold" w:hAnsi="Arial" w:cs="Arial"/>
          <w:sz w:val="24"/>
          <w:szCs w:val="24"/>
        </w:rPr>
        <w:t xml:space="preserve"> shall then be further discussed and considered during the pre-SOM13 FRWG meeting; and</w:t>
      </w:r>
    </w:p>
    <w:p w14:paraId="44EAA07A" w14:textId="77777777" w:rsidR="006443F7" w:rsidRPr="006443F7" w:rsidRDefault="006443F7" w:rsidP="0048435C">
      <w:pPr>
        <w:pStyle w:val="NoSpacing"/>
        <w:numPr>
          <w:ilvl w:val="0"/>
          <w:numId w:val="45"/>
        </w:numPr>
        <w:spacing w:after="120" w:line="288" w:lineRule="auto"/>
        <w:ind w:left="1058" w:hanging="425"/>
        <w:jc w:val="both"/>
        <w:rPr>
          <w:rFonts w:ascii="Arial" w:eastAsia="Yu Gothic UI Semibold" w:hAnsi="Arial" w:cs="Arial"/>
          <w:sz w:val="24"/>
          <w:szCs w:val="24"/>
        </w:rPr>
      </w:pPr>
      <w:r w:rsidRPr="006443F7">
        <w:rPr>
          <w:rFonts w:ascii="Arial" w:eastAsia="Yu Gothic UI Semibold" w:hAnsi="Arial" w:cs="Arial"/>
          <w:sz w:val="24"/>
          <w:szCs w:val="24"/>
        </w:rPr>
        <w:t>The Regional Secretariat acknowledged the unique situation in each Member States to provide a focal point for the FRWG. The following are the status of focal points / mode of communication to the respective Member States:</w:t>
      </w:r>
    </w:p>
    <w:p w14:paraId="781B4D8C"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u w:val="single"/>
        </w:rPr>
        <w:t>Philippines &amp; Solomon Islands:</w:t>
      </w:r>
      <w:r w:rsidRPr="006443F7">
        <w:rPr>
          <w:rFonts w:ascii="Arial" w:eastAsia="Yu Gothic UI Semibold" w:hAnsi="Arial" w:cs="Arial"/>
          <w:sz w:val="24"/>
          <w:szCs w:val="24"/>
        </w:rPr>
        <w:t xml:space="preserve"> all communication should be addressed directly to the National Coordination Committee (NCC);</w:t>
      </w:r>
    </w:p>
    <w:p w14:paraId="4A7ADCE9"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u w:val="single"/>
        </w:rPr>
        <w:t>Papua New Guinea:</w:t>
      </w:r>
      <w:r w:rsidRPr="006443F7">
        <w:rPr>
          <w:rFonts w:ascii="Arial" w:eastAsia="Yu Gothic UI Semibold" w:hAnsi="Arial" w:cs="Arial"/>
          <w:sz w:val="24"/>
          <w:szCs w:val="24"/>
        </w:rPr>
        <w:t xml:space="preserve"> Note on the importance of a focal point.</w:t>
      </w:r>
    </w:p>
    <w:p w14:paraId="6679A398"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u w:val="single"/>
        </w:rPr>
        <w:t>Malaysia:</w:t>
      </w:r>
      <w:r w:rsidRPr="006443F7">
        <w:rPr>
          <w:rFonts w:ascii="Arial" w:eastAsia="Yu Gothic UI Semibold" w:hAnsi="Arial" w:cs="Arial"/>
          <w:sz w:val="24"/>
          <w:szCs w:val="24"/>
        </w:rPr>
        <w:t xml:space="preserve"> As the Ministry of Science, Technology and Innovation (MOSTI) is undergoing a restructuring exercise, they shall provide it as soon as it is able to do so. However, communication in relation to focal points nomination for FRWG should be directed to the relevant working group at the national level;</w:t>
      </w:r>
    </w:p>
    <w:p w14:paraId="6385ECF6" w14:textId="77777777" w:rsidR="006443F7" w:rsidRPr="006443F7" w:rsidRDefault="006443F7" w:rsidP="0048435C">
      <w:pPr>
        <w:pStyle w:val="NoSpacing"/>
        <w:numPr>
          <w:ilvl w:val="2"/>
          <w:numId w:val="45"/>
        </w:numPr>
        <w:spacing w:after="120" w:line="288" w:lineRule="auto"/>
        <w:ind w:left="1800"/>
        <w:jc w:val="both"/>
        <w:rPr>
          <w:rFonts w:ascii="Arial" w:eastAsia="Yu Gothic UI Semibold" w:hAnsi="Arial" w:cs="Arial"/>
          <w:sz w:val="24"/>
          <w:szCs w:val="24"/>
        </w:rPr>
      </w:pPr>
      <w:r w:rsidRPr="006443F7">
        <w:rPr>
          <w:rFonts w:ascii="Arial" w:eastAsia="Yu Gothic UI Semibold" w:hAnsi="Arial" w:cs="Arial"/>
          <w:sz w:val="24"/>
          <w:szCs w:val="24"/>
          <w:u w:val="single"/>
        </w:rPr>
        <w:t>Indonesia:</w:t>
      </w:r>
      <w:r w:rsidRPr="006443F7">
        <w:rPr>
          <w:rFonts w:ascii="Arial" w:eastAsia="Yu Gothic UI Semibold" w:hAnsi="Arial" w:cs="Arial"/>
          <w:sz w:val="24"/>
          <w:szCs w:val="24"/>
        </w:rPr>
        <w:t xml:space="preserve"> The focal point for FRWG in Indonesia would be Mr. </w:t>
      </w:r>
      <w:proofErr w:type="spellStart"/>
      <w:r w:rsidRPr="006443F7">
        <w:rPr>
          <w:rFonts w:ascii="Arial" w:eastAsia="Yu Gothic UI Semibold" w:hAnsi="Arial" w:cs="Arial"/>
          <w:sz w:val="24"/>
          <w:szCs w:val="24"/>
        </w:rPr>
        <w:t>Agus</w:t>
      </w:r>
      <w:proofErr w:type="spellEnd"/>
      <w:r w:rsidRPr="006443F7">
        <w:rPr>
          <w:rFonts w:ascii="Arial" w:eastAsia="Yu Gothic UI Semibold" w:hAnsi="Arial" w:cs="Arial"/>
          <w:sz w:val="24"/>
          <w:szCs w:val="24"/>
        </w:rPr>
        <w:t xml:space="preserve"> </w:t>
      </w:r>
      <w:proofErr w:type="spellStart"/>
      <w:r w:rsidRPr="006443F7">
        <w:rPr>
          <w:rFonts w:ascii="Arial" w:eastAsia="Yu Gothic UI Semibold" w:hAnsi="Arial" w:cs="Arial"/>
          <w:sz w:val="24"/>
          <w:szCs w:val="24"/>
        </w:rPr>
        <w:t>Darmawan</w:t>
      </w:r>
      <w:proofErr w:type="spellEnd"/>
      <w:r w:rsidRPr="006443F7">
        <w:rPr>
          <w:rFonts w:ascii="Arial" w:eastAsia="Yu Gothic UI Semibold" w:hAnsi="Arial" w:cs="Arial"/>
          <w:sz w:val="24"/>
          <w:szCs w:val="24"/>
        </w:rPr>
        <w:t>, the Secretary</w:t>
      </w:r>
    </w:p>
    <w:p w14:paraId="532F7DAA" w14:textId="77777777" w:rsidR="006443F7" w:rsidRDefault="006443F7" w:rsidP="0048435C">
      <w:pPr>
        <w:pStyle w:val="Default"/>
        <w:spacing w:line="288" w:lineRule="auto"/>
        <w:jc w:val="both"/>
        <w:rPr>
          <w:rFonts w:eastAsia="Calibri"/>
          <w:bCs/>
          <w:lang w:val="en-GB"/>
        </w:rPr>
      </w:pPr>
    </w:p>
    <w:p w14:paraId="1A16634E" w14:textId="77777777" w:rsidR="00291296" w:rsidRDefault="00291296">
      <w:pPr>
        <w:rPr>
          <w:rFonts w:ascii="Arial" w:eastAsia="Calibri" w:hAnsi="Arial" w:cs="Arial"/>
          <w:bCs/>
          <w:color w:val="000000"/>
          <w:lang w:val="en-GB"/>
        </w:rPr>
      </w:pPr>
      <w:r>
        <w:rPr>
          <w:rFonts w:eastAsia="Calibri"/>
          <w:bCs/>
          <w:lang w:val="en-GB"/>
        </w:rPr>
        <w:br w:type="page"/>
      </w:r>
    </w:p>
    <w:p w14:paraId="00AB49F2" w14:textId="0C32DC6C" w:rsidR="00291296" w:rsidRDefault="00AC1CDF" w:rsidP="00291296">
      <w:pPr>
        <w:pStyle w:val="Default"/>
        <w:spacing w:after="160" w:line="288" w:lineRule="auto"/>
        <w:jc w:val="both"/>
        <w:rPr>
          <w:rFonts w:eastAsia="Calibri"/>
          <w:bCs/>
          <w:lang w:val="en-GB"/>
        </w:rPr>
      </w:pPr>
      <w:r>
        <w:rPr>
          <w:rFonts w:eastAsia="Calibri"/>
          <w:bCs/>
          <w:lang w:val="en-GB"/>
        </w:rPr>
        <w:lastRenderedPageBreak/>
        <w:t xml:space="preserve">Since the FRWG meeting, with the support of the Asian Development Bank, the Regional Secretariat engaged the Project Initiation Specialist (PIS) for a period of </w:t>
      </w:r>
      <w:r w:rsidR="00222E91">
        <w:rPr>
          <w:rFonts w:eastAsia="Calibri"/>
          <w:bCs/>
          <w:lang w:val="en-GB"/>
        </w:rPr>
        <w:t>three (3)</w:t>
      </w:r>
      <w:r>
        <w:rPr>
          <w:rFonts w:eastAsia="Calibri"/>
          <w:bCs/>
          <w:lang w:val="en-GB"/>
        </w:rPr>
        <w:t xml:space="preserve"> months starting from 1 May and extended</w:t>
      </w:r>
      <w:r w:rsidR="00222E91">
        <w:rPr>
          <w:rFonts w:eastAsia="Calibri"/>
          <w:bCs/>
          <w:lang w:val="en-GB"/>
        </w:rPr>
        <w:t xml:space="preserve"> for another three (3) months</w:t>
      </w:r>
      <w:r>
        <w:rPr>
          <w:rFonts w:eastAsia="Calibri"/>
          <w:bCs/>
          <w:lang w:val="en-GB"/>
        </w:rPr>
        <w:t xml:space="preserve"> to end of </w:t>
      </w:r>
      <w:r w:rsidR="00222E91">
        <w:rPr>
          <w:rFonts w:eastAsia="Calibri"/>
          <w:bCs/>
          <w:lang w:val="en-GB"/>
        </w:rPr>
        <w:t>October 2017.</w:t>
      </w:r>
      <w:r w:rsidR="00291296">
        <w:rPr>
          <w:rFonts w:eastAsia="Calibri"/>
          <w:bCs/>
          <w:lang w:val="en-GB"/>
        </w:rPr>
        <w:t xml:space="preserve"> The deliverables include drafts of:</w:t>
      </w:r>
    </w:p>
    <w:p w14:paraId="0A692510" w14:textId="5C44CE6E" w:rsidR="0078540B" w:rsidRDefault="00291296" w:rsidP="00291296">
      <w:pPr>
        <w:pStyle w:val="Default"/>
        <w:numPr>
          <w:ilvl w:val="0"/>
          <w:numId w:val="47"/>
        </w:numPr>
        <w:spacing w:line="288" w:lineRule="auto"/>
        <w:jc w:val="both"/>
        <w:rPr>
          <w:rFonts w:eastAsia="Calibri"/>
          <w:bCs/>
          <w:lang w:val="en-GB"/>
        </w:rPr>
      </w:pPr>
      <w:r>
        <w:rPr>
          <w:rFonts w:eastAsia="Calibri"/>
          <w:bCs/>
          <w:lang w:val="en-GB"/>
        </w:rPr>
        <w:t>Grant Opportunities 2017-2020 document;</w:t>
      </w:r>
    </w:p>
    <w:p w14:paraId="56B02E0C" w14:textId="7CC85ED1" w:rsidR="00291296" w:rsidRDefault="00291296" w:rsidP="00291296">
      <w:pPr>
        <w:pStyle w:val="Default"/>
        <w:numPr>
          <w:ilvl w:val="0"/>
          <w:numId w:val="47"/>
        </w:numPr>
        <w:spacing w:line="288" w:lineRule="auto"/>
        <w:jc w:val="both"/>
        <w:rPr>
          <w:rFonts w:eastAsia="Calibri"/>
          <w:bCs/>
          <w:lang w:val="en-GB"/>
        </w:rPr>
      </w:pPr>
      <w:r>
        <w:rPr>
          <w:rFonts w:eastAsia="Calibri"/>
          <w:bCs/>
          <w:lang w:val="en-GB"/>
        </w:rPr>
        <w:t>Logical Framework Analysis (LFA) document;</w:t>
      </w:r>
    </w:p>
    <w:p w14:paraId="2DEA74FC" w14:textId="4BADB1D7" w:rsidR="00291296" w:rsidRDefault="00291296" w:rsidP="00291296">
      <w:pPr>
        <w:pStyle w:val="Default"/>
        <w:numPr>
          <w:ilvl w:val="0"/>
          <w:numId w:val="47"/>
        </w:numPr>
        <w:spacing w:line="288" w:lineRule="auto"/>
        <w:jc w:val="both"/>
        <w:rPr>
          <w:rFonts w:eastAsia="Calibri"/>
          <w:bCs/>
          <w:lang w:val="en-GB"/>
        </w:rPr>
      </w:pPr>
      <w:r>
        <w:rPr>
          <w:rFonts w:eastAsia="Calibri"/>
          <w:bCs/>
          <w:lang w:val="en-GB"/>
        </w:rPr>
        <w:t>Sample proposal for Climate Change Adaptation;</w:t>
      </w:r>
    </w:p>
    <w:p w14:paraId="618C5D85" w14:textId="72FB8289" w:rsidR="00291296" w:rsidRDefault="00291296" w:rsidP="00291296">
      <w:pPr>
        <w:pStyle w:val="Default"/>
        <w:numPr>
          <w:ilvl w:val="0"/>
          <w:numId w:val="47"/>
        </w:numPr>
        <w:spacing w:line="288" w:lineRule="auto"/>
        <w:jc w:val="both"/>
        <w:rPr>
          <w:rFonts w:eastAsia="Calibri"/>
          <w:bCs/>
          <w:lang w:val="en-GB"/>
        </w:rPr>
      </w:pPr>
      <w:r>
        <w:rPr>
          <w:rFonts w:eastAsia="Calibri"/>
          <w:bCs/>
          <w:lang w:val="en-GB"/>
        </w:rPr>
        <w:t>Programme Manual; and</w:t>
      </w:r>
    </w:p>
    <w:p w14:paraId="35CBBF46" w14:textId="6E28B55C" w:rsidR="00291296" w:rsidRDefault="00291296" w:rsidP="00291296">
      <w:pPr>
        <w:pStyle w:val="Default"/>
        <w:numPr>
          <w:ilvl w:val="0"/>
          <w:numId w:val="47"/>
        </w:numPr>
        <w:spacing w:line="288" w:lineRule="auto"/>
        <w:jc w:val="both"/>
        <w:rPr>
          <w:rFonts w:eastAsia="Calibri"/>
          <w:bCs/>
          <w:lang w:val="en-GB"/>
        </w:rPr>
      </w:pPr>
      <w:r>
        <w:rPr>
          <w:rFonts w:eastAsia="Calibri"/>
          <w:bCs/>
          <w:lang w:val="en-GB"/>
        </w:rPr>
        <w:t>Cost Benefit Analysis (CBA)</w:t>
      </w:r>
    </w:p>
    <w:p w14:paraId="7EBF7BF9" w14:textId="77777777" w:rsidR="0078540B" w:rsidRDefault="0078540B" w:rsidP="0048435C">
      <w:pPr>
        <w:pStyle w:val="Default"/>
        <w:spacing w:line="288" w:lineRule="auto"/>
        <w:jc w:val="both"/>
        <w:rPr>
          <w:rFonts w:eastAsia="Calibri"/>
          <w:bCs/>
          <w:lang w:val="en-GB"/>
        </w:rPr>
      </w:pPr>
    </w:p>
    <w:p w14:paraId="13040342" w14:textId="367EBE5F" w:rsidR="0078540B" w:rsidRDefault="00291296" w:rsidP="0048435C">
      <w:pPr>
        <w:pStyle w:val="Default"/>
        <w:spacing w:line="288" w:lineRule="auto"/>
        <w:jc w:val="both"/>
        <w:rPr>
          <w:rFonts w:eastAsia="Calibri"/>
          <w:bCs/>
          <w:lang w:val="en-GB"/>
        </w:rPr>
      </w:pPr>
      <w:r>
        <w:rPr>
          <w:rFonts w:eastAsia="Calibri"/>
          <w:bCs/>
          <w:lang w:val="en-GB"/>
        </w:rPr>
        <w:t>These dr</w:t>
      </w:r>
      <w:r w:rsidR="0027247E">
        <w:rPr>
          <w:rFonts w:eastAsia="Calibri"/>
          <w:bCs/>
          <w:lang w:val="en-GB"/>
        </w:rPr>
        <w:t xml:space="preserve">afts shall need further </w:t>
      </w:r>
      <w:r>
        <w:rPr>
          <w:rFonts w:eastAsia="Calibri"/>
          <w:bCs/>
          <w:lang w:val="en-GB"/>
        </w:rPr>
        <w:t>refinement, however provides for fundamental basis towards the establishment of the Project Preparation Facility (PPF) and the subsequent set-up of the CTI-CFF Trust Fund</w:t>
      </w:r>
      <w:r w:rsidR="0027247E">
        <w:rPr>
          <w:rFonts w:eastAsia="Calibri"/>
          <w:bCs/>
          <w:lang w:val="en-GB"/>
        </w:rPr>
        <w:t xml:space="preserve"> (</w:t>
      </w:r>
      <w:r w:rsidR="0027247E" w:rsidRPr="0027247E">
        <w:rPr>
          <w:rFonts w:eastAsia="Calibri"/>
          <w:bCs/>
          <w:u w:val="single"/>
          <w:lang w:val="en-GB"/>
        </w:rPr>
        <w:t>Note</w:t>
      </w:r>
      <w:r w:rsidR="0027247E">
        <w:rPr>
          <w:rFonts w:eastAsia="Calibri"/>
          <w:bCs/>
          <w:lang w:val="en-GB"/>
        </w:rPr>
        <w:t>: the drafts are attached in the Project Initiation Specialist Report)</w:t>
      </w:r>
      <w:r>
        <w:rPr>
          <w:rFonts w:eastAsia="Calibri"/>
          <w:bCs/>
          <w:lang w:val="en-GB"/>
        </w:rPr>
        <w:t>.</w:t>
      </w:r>
    </w:p>
    <w:p w14:paraId="7E858452" w14:textId="77777777" w:rsidR="00291296" w:rsidRDefault="00291296" w:rsidP="0048435C">
      <w:pPr>
        <w:pStyle w:val="Default"/>
        <w:spacing w:line="288" w:lineRule="auto"/>
        <w:jc w:val="both"/>
        <w:rPr>
          <w:rFonts w:eastAsia="Calibri"/>
          <w:bCs/>
          <w:lang w:val="en-GB"/>
        </w:rPr>
      </w:pPr>
    </w:p>
    <w:p w14:paraId="1BFDC1F0" w14:textId="77777777" w:rsidR="0078540B" w:rsidRPr="004B04E4" w:rsidRDefault="0078540B" w:rsidP="0048435C">
      <w:pPr>
        <w:pStyle w:val="Default"/>
        <w:spacing w:line="288" w:lineRule="auto"/>
        <w:jc w:val="both"/>
        <w:rPr>
          <w:rFonts w:eastAsia="Calibri"/>
          <w:bCs/>
          <w:lang w:val="en-GB"/>
        </w:rPr>
      </w:pPr>
    </w:p>
    <w:p w14:paraId="7105C82F" w14:textId="77777777" w:rsidR="005A401D" w:rsidRPr="004B04E4" w:rsidRDefault="00FC46CF" w:rsidP="00291296">
      <w:pPr>
        <w:pStyle w:val="Default"/>
        <w:spacing w:line="288" w:lineRule="auto"/>
        <w:jc w:val="center"/>
        <w:rPr>
          <w:b/>
          <w:bCs/>
          <w:lang w:val="en-GB"/>
        </w:rPr>
      </w:pPr>
      <w:r w:rsidRPr="004B04E4">
        <w:rPr>
          <w:b/>
          <w:bCs/>
          <w:lang w:val="en-GB"/>
        </w:rPr>
        <w:t>II. Decision</w:t>
      </w:r>
    </w:p>
    <w:p w14:paraId="05DDB587" w14:textId="77777777" w:rsidR="005A401D" w:rsidRPr="004B04E4" w:rsidRDefault="005A401D" w:rsidP="0048435C">
      <w:pPr>
        <w:pStyle w:val="Default"/>
        <w:spacing w:line="288" w:lineRule="auto"/>
        <w:jc w:val="both"/>
        <w:rPr>
          <w:b/>
          <w:bCs/>
          <w:lang w:val="en-GB"/>
        </w:rPr>
      </w:pPr>
    </w:p>
    <w:p w14:paraId="2589B8A9" w14:textId="7C98AE1B" w:rsidR="00AA2406" w:rsidRDefault="00AA2406" w:rsidP="0048435C">
      <w:pPr>
        <w:spacing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3339B8">
        <w:rPr>
          <w:rFonts w:ascii="Arial" w:hAnsi="Arial" w:cs="Arial"/>
          <w:lang w:val="en-GB"/>
        </w:rPr>
        <w:t xml:space="preserve"> </w:t>
      </w:r>
      <w:r w:rsidR="003E782A">
        <w:rPr>
          <w:rFonts w:ascii="Arial" w:hAnsi="Arial" w:cs="Arial"/>
          <w:lang w:val="en-GB"/>
        </w:rPr>
        <w:t>in</w:t>
      </w:r>
      <w:r w:rsidR="003339B8">
        <w:rPr>
          <w:rFonts w:ascii="Arial" w:hAnsi="Arial" w:cs="Arial"/>
          <w:lang w:val="en-GB"/>
        </w:rPr>
        <w:t xml:space="preserve"> </w:t>
      </w:r>
      <w:r w:rsidR="00E662A9">
        <w:rPr>
          <w:rFonts w:ascii="Arial" w:hAnsi="Arial" w:cs="Arial"/>
          <w:lang w:val="en-GB"/>
        </w:rPr>
        <w:t xml:space="preserve">session </w:t>
      </w:r>
      <w:r w:rsidR="006342D4">
        <w:rPr>
          <w:rFonts w:ascii="Arial" w:hAnsi="Arial" w:cs="Arial"/>
          <w:lang w:val="en-GB"/>
        </w:rPr>
        <w:t xml:space="preserve">of </w:t>
      </w:r>
      <w:bookmarkStart w:id="0" w:name="_GoBack"/>
      <w:bookmarkEnd w:id="0"/>
      <w:r w:rsidR="003E782A">
        <w:rPr>
          <w:rFonts w:ascii="Arial" w:hAnsi="Arial" w:cs="Arial"/>
          <w:lang w:val="en-GB"/>
        </w:rPr>
        <w:t xml:space="preserve">Financial Resources Working Group;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14:paraId="3D3B1536" w14:textId="13041F20" w:rsidR="00B55759" w:rsidRDefault="00B55759" w:rsidP="0048435C">
      <w:pPr>
        <w:spacing w:line="288" w:lineRule="auto"/>
        <w:jc w:val="both"/>
        <w:rPr>
          <w:rFonts w:ascii="Arial" w:hAnsi="Arial" w:cs="Arial"/>
          <w:lang w:val="en-GB"/>
        </w:rPr>
      </w:pPr>
    </w:p>
    <w:p w14:paraId="202ACDA4" w14:textId="62B3BA9A" w:rsidR="00B55759" w:rsidRPr="00B55759" w:rsidRDefault="00B55759" w:rsidP="0048435C">
      <w:pPr>
        <w:pStyle w:val="ListParagraph"/>
        <w:numPr>
          <w:ilvl w:val="0"/>
          <w:numId w:val="41"/>
        </w:numPr>
        <w:spacing w:line="288" w:lineRule="auto"/>
        <w:jc w:val="both"/>
        <w:rPr>
          <w:rFonts w:ascii="Arial" w:hAnsi="Arial" w:cs="Arial"/>
          <w:b/>
          <w:lang w:val="en-GB"/>
        </w:rPr>
      </w:pPr>
      <w:r w:rsidRPr="00B55759">
        <w:rPr>
          <w:rFonts w:ascii="Arial" w:hAnsi="Arial" w:cs="Arial"/>
          <w:b/>
          <w:lang w:val="en-GB"/>
        </w:rPr>
        <w:t>Acknowledged on the following matters:</w:t>
      </w:r>
    </w:p>
    <w:p w14:paraId="05BCDACE" w14:textId="676F1E7B" w:rsidR="00B55759" w:rsidRDefault="00B55759" w:rsidP="0048435C">
      <w:pPr>
        <w:spacing w:line="288" w:lineRule="auto"/>
        <w:jc w:val="both"/>
        <w:rPr>
          <w:rFonts w:ascii="Arial" w:hAnsi="Arial" w:cs="Arial"/>
          <w:lang w:val="en-GB"/>
        </w:rPr>
      </w:pPr>
    </w:p>
    <w:p w14:paraId="2CF13245" w14:textId="2BA3E76F" w:rsidR="00B55759" w:rsidRPr="00B55759" w:rsidRDefault="00B55759" w:rsidP="0048435C">
      <w:pPr>
        <w:pStyle w:val="ListParagraph"/>
        <w:numPr>
          <w:ilvl w:val="0"/>
          <w:numId w:val="42"/>
        </w:numPr>
        <w:spacing w:after="160" w:line="288" w:lineRule="auto"/>
        <w:ind w:left="1434" w:hanging="357"/>
        <w:contextualSpacing w:val="0"/>
        <w:jc w:val="both"/>
        <w:rPr>
          <w:rFonts w:ascii="Arial" w:hAnsi="Arial" w:cs="Arial"/>
          <w:lang w:val="en-GB"/>
        </w:rPr>
      </w:pPr>
      <w:r>
        <w:rPr>
          <w:rFonts w:ascii="Arial" w:hAnsi="Arial" w:cs="Arial"/>
          <w:lang w:val="en-GB"/>
        </w:rPr>
        <w:t>T</w:t>
      </w:r>
      <w:r w:rsidRPr="00B55759">
        <w:rPr>
          <w:rFonts w:ascii="Arial" w:hAnsi="Arial" w:cs="Arial"/>
          <w:lang w:val="en-GB"/>
        </w:rPr>
        <w:t>he deliverables and challenges reported by the appointed Project Initiation Specialist (PIS);</w:t>
      </w:r>
    </w:p>
    <w:p w14:paraId="5422F8AE" w14:textId="26D44759" w:rsidR="00B55759" w:rsidRDefault="00B55759" w:rsidP="0048435C">
      <w:pPr>
        <w:pStyle w:val="ListParagraph"/>
        <w:numPr>
          <w:ilvl w:val="0"/>
          <w:numId w:val="42"/>
        </w:numPr>
        <w:spacing w:after="160" w:line="288" w:lineRule="auto"/>
        <w:ind w:left="1434" w:hanging="357"/>
        <w:contextualSpacing w:val="0"/>
        <w:jc w:val="both"/>
        <w:rPr>
          <w:rFonts w:ascii="Arial" w:hAnsi="Arial" w:cs="Arial"/>
          <w:lang w:val="en-GB"/>
        </w:rPr>
      </w:pPr>
      <w:r>
        <w:rPr>
          <w:rFonts w:ascii="Arial" w:hAnsi="Arial" w:cs="Arial"/>
          <w:lang w:val="en-GB"/>
        </w:rPr>
        <w:t>T</w:t>
      </w:r>
      <w:r w:rsidRPr="00B55759">
        <w:rPr>
          <w:rFonts w:ascii="Arial" w:hAnsi="Arial" w:cs="Arial"/>
          <w:lang w:val="en-GB"/>
        </w:rPr>
        <w:t>he status of NPOA costings and i</w:t>
      </w:r>
      <w:r>
        <w:rPr>
          <w:rFonts w:ascii="Arial" w:hAnsi="Arial" w:cs="Arial"/>
          <w:lang w:val="en-GB"/>
        </w:rPr>
        <w:t>dentification of showcase sites.</w:t>
      </w:r>
      <w:r w:rsidR="00BE0B3E">
        <w:rPr>
          <w:rFonts w:ascii="Arial" w:hAnsi="Arial" w:cs="Arial"/>
          <w:lang w:val="en-GB"/>
        </w:rPr>
        <w:t>;</w:t>
      </w:r>
    </w:p>
    <w:p w14:paraId="38C1F1F5" w14:textId="1296A25D" w:rsidR="00BE0B3E" w:rsidRPr="00B55759" w:rsidRDefault="00BE0B3E" w:rsidP="0048435C">
      <w:pPr>
        <w:pStyle w:val="ListParagraph"/>
        <w:numPr>
          <w:ilvl w:val="0"/>
          <w:numId w:val="42"/>
        </w:numPr>
        <w:spacing w:after="160" w:line="288" w:lineRule="auto"/>
        <w:ind w:left="1434" w:hanging="357"/>
        <w:contextualSpacing w:val="0"/>
        <w:jc w:val="both"/>
        <w:rPr>
          <w:rFonts w:ascii="Arial" w:hAnsi="Arial" w:cs="Arial"/>
          <w:lang w:val="en-GB"/>
        </w:rPr>
      </w:pPr>
      <w:r>
        <w:rPr>
          <w:rFonts w:ascii="Arial" w:hAnsi="Arial" w:cs="Arial"/>
          <w:lang w:val="en-GB"/>
        </w:rPr>
        <w:t xml:space="preserve">The offer from the Asian Development Bank (ADB) for briefing session in relation to GEF’s application processes. </w:t>
      </w:r>
    </w:p>
    <w:p w14:paraId="4F8D75AF" w14:textId="47C1AF90" w:rsidR="00B55759" w:rsidRDefault="00B55759" w:rsidP="0048435C">
      <w:pPr>
        <w:spacing w:line="288" w:lineRule="auto"/>
        <w:jc w:val="both"/>
        <w:rPr>
          <w:rFonts w:ascii="Arial" w:hAnsi="Arial" w:cs="Arial"/>
          <w:lang w:val="en-GB"/>
        </w:rPr>
      </w:pPr>
    </w:p>
    <w:p w14:paraId="2F7E0336" w14:textId="605F4821" w:rsidR="00CC4B24" w:rsidRPr="00B55759" w:rsidRDefault="00B55759" w:rsidP="0048435C">
      <w:pPr>
        <w:pStyle w:val="ListParagraph"/>
        <w:numPr>
          <w:ilvl w:val="0"/>
          <w:numId w:val="41"/>
        </w:numPr>
        <w:spacing w:line="288" w:lineRule="auto"/>
        <w:jc w:val="both"/>
        <w:rPr>
          <w:rFonts w:ascii="Arial" w:hAnsi="Arial" w:cs="Arial"/>
          <w:b/>
          <w:lang w:val="en-GB"/>
        </w:rPr>
      </w:pPr>
      <w:r w:rsidRPr="00B55759">
        <w:rPr>
          <w:rFonts w:ascii="Arial" w:hAnsi="Arial" w:cs="Arial"/>
          <w:b/>
          <w:lang w:val="en-GB"/>
        </w:rPr>
        <w:t>Agreed on the following matters:</w:t>
      </w:r>
    </w:p>
    <w:p w14:paraId="3DB2916F" w14:textId="408FB3B9" w:rsidR="003E782A" w:rsidRDefault="003E782A" w:rsidP="0048435C">
      <w:pPr>
        <w:pStyle w:val="ListParagraph"/>
        <w:spacing w:line="288" w:lineRule="auto"/>
        <w:jc w:val="both"/>
        <w:rPr>
          <w:rFonts w:ascii="Arial" w:hAnsi="Arial" w:cs="Arial"/>
          <w:i/>
          <w:lang w:val="en-GB"/>
        </w:rPr>
      </w:pPr>
    </w:p>
    <w:p w14:paraId="3597FB26" w14:textId="57DFEA91" w:rsidR="003E782A" w:rsidRPr="00B55759" w:rsidRDefault="003E782A" w:rsidP="0048435C">
      <w:pPr>
        <w:pStyle w:val="ListParagraph"/>
        <w:numPr>
          <w:ilvl w:val="0"/>
          <w:numId w:val="43"/>
        </w:numPr>
        <w:spacing w:after="160" w:line="288" w:lineRule="auto"/>
        <w:contextualSpacing w:val="0"/>
        <w:jc w:val="both"/>
        <w:rPr>
          <w:rFonts w:ascii="Arial" w:hAnsi="Arial" w:cs="Arial"/>
          <w:lang w:val="en-GB"/>
        </w:rPr>
      </w:pPr>
      <w:r w:rsidRPr="00B55759">
        <w:rPr>
          <w:rFonts w:ascii="Arial" w:hAnsi="Arial" w:cs="Arial"/>
          <w:lang w:val="en-GB"/>
        </w:rPr>
        <w:t>for the Regional Secretariat to provide for a Financial Management Advisor position within the Regional Secretariat to oversee the establishment of the Project Preparation Facility (PPF);</w:t>
      </w:r>
    </w:p>
    <w:p w14:paraId="530D68D1" w14:textId="591BCCF5" w:rsidR="004E799A" w:rsidRPr="00B55759" w:rsidRDefault="004E799A" w:rsidP="0048435C">
      <w:pPr>
        <w:pStyle w:val="ListParagraph"/>
        <w:numPr>
          <w:ilvl w:val="0"/>
          <w:numId w:val="43"/>
        </w:numPr>
        <w:spacing w:after="160" w:line="288" w:lineRule="auto"/>
        <w:contextualSpacing w:val="0"/>
        <w:jc w:val="both"/>
        <w:rPr>
          <w:rFonts w:ascii="Arial" w:hAnsi="Arial" w:cs="Arial"/>
          <w:lang w:val="en-GB"/>
        </w:rPr>
      </w:pPr>
      <w:r w:rsidRPr="00B55759">
        <w:rPr>
          <w:rFonts w:ascii="Arial" w:hAnsi="Arial" w:cs="Arial"/>
          <w:lang w:val="en-GB"/>
        </w:rPr>
        <w:t>to establish the Project Preparation Facility (PPF) within the Regional Secretariat in coordination with the Governance Working Groups (GWGs) and Development Partners;</w:t>
      </w:r>
    </w:p>
    <w:p w14:paraId="3E14CD62" w14:textId="3F8AE003" w:rsidR="004E799A" w:rsidRPr="00B55759" w:rsidRDefault="004E799A" w:rsidP="0048435C">
      <w:pPr>
        <w:pStyle w:val="ListParagraph"/>
        <w:numPr>
          <w:ilvl w:val="0"/>
          <w:numId w:val="43"/>
        </w:numPr>
        <w:spacing w:after="160" w:line="288" w:lineRule="auto"/>
        <w:contextualSpacing w:val="0"/>
        <w:jc w:val="both"/>
        <w:rPr>
          <w:rFonts w:ascii="Arial" w:hAnsi="Arial" w:cs="Arial"/>
          <w:lang w:val="en-GB"/>
        </w:rPr>
      </w:pPr>
      <w:r w:rsidRPr="00B55759">
        <w:rPr>
          <w:rFonts w:ascii="Arial" w:hAnsi="Arial" w:cs="Arial"/>
          <w:lang w:val="en-GB"/>
        </w:rPr>
        <w:t xml:space="preserve">to further discuss the set-up of the CTI Trust Fund upon findings from NPOA Costing exercises in compliance with The Agreement </w:t>
      </w:r>
      <w:r w:rsidRPr="00B55759">
        <w:rPr>
          <w:rFonts w:ascii="Arial" w:hAnsi="Arial" w:cs="Arial"/>
          <w:lang w:val="en-GB"/>
        </w:rPr>
        <w:lastRenderedPageBreak/>
        <w:t>on the Establishment of the Regional Secretariat on the Coral Triangle Initiative on Coral Reefs, Fisheries and Food Security (CTI-CFF);</w:t>
      </w:r>
      <w:r w:rsidRPr="00B55759">
        <w:rPr>
          <w:rStyle w:val="FootnoteReference"/>
          <w:rFonts w:ascii="Arial" w:hAnsi="Arial" w:cs="Arial"/>
          <w:lang w:val="en-GB"/>
        </w:rPr>
        <w:footnoteReference w:id="2"/>
      </w:r>
      <w:r w:rsidRPr="00B55759">
        <w:rPr>
          <w:rFonts w:ascii="Arial" w:hAnsi="Arial" w:cs="Arial"/>
          <w:lang w:val="en-GB"/>
        </w:rPr>
        <w:t xml:space="preserve"> with the guidance provided in the endorsed CTI-CFF Financial Architecture Report</w:t>
      </w:r>
      <w:r w:rsidRPr="00B55759">
        <w:rPr>
          <w:rStyle w:val="FootnoteReference"/>
          <w:rFonts w:ascii="Arial" w:hAnsi="Arial" w:cs="Arial"/>
          <w:lang w:val="en-GB"/>
        </w:rPr>
        <w:footnoteReference w:id="3"/>
      </w:r>
      <w:r w:rsidRPr="00B55759">
        <w:rPr>
          <w:rFonts w:ascii="Arial" w:hAnsi="Arial" w:cs="Arial"/>
          <w:lang w:val="en-GB"/>
        </w:rPr>
        <w:t>;</w:t>
      </w:r>
    </w:p>
    <w:p w14:paraId="09544152" w14:textId="77777777" w:rsidR="00B55759" w:rsidRPr="00B55759" w:rsidRDefault="00B55759" w:rsidP="0048435C">
      <w:pPr>
        <w:spacing w:after="160" w:line="288" w:lineRule="auto"/>
        <w:jc w:val="both"/>
        <w:rPr>
          <w:rFonts w:ascii="Arial" w:hAnsi="Arial" w:cs="Arial"/>
          <w:lang w:val="en-GB"/>
        </w:rPr>
      </w:pPr>
    </w:p>
    <w:p w14:paraId="5CFC845F" w14:textId="3B876C57" w:rsidR="00B55759" w:rsidRDefault="00B55759" w:rsidP="0048435C">
      <w:pPr>
        <w:pStyle w:val="ListParagraph"/>
        <w:numPr>
          <w:ilvl w:val="0"/>
          <w:numId w:val="41"/>
        </w:numPr>
        <w:spacing w:after="120" w:line="288" w:lineRule="auto"/>
        <w:ind w:left="1077"/>
        <w:jc w:val="both"/>
        <w:rPr>
          <w:rFonts w:ascii="Arial" w:hAnsi="Arial" w:cs="Arial"/>
          <w:b/>
          <w:lang w:val="en-GB"/>
        </w:rPr>
      </w:pPr>
      <w:r w:rsidRPr="00B55759">
        <w:rPr>
          <w:rFonts w:ascii="Arial" w:hAnsi="Arial" w:cs="Arial"/>
          <w:b/>
          <w:lang w:val="en-GB"/>
        </w:rPr>
        <w:t>Agreed and endorsed the following matters:</w:t>
      </w:r>
    </w:p>
    <w:p w14:paraId="55541E8B" w14:textId="77777777" w:rsidR="00B55759" w:rsidRPr="00B55759" w:rsidRDefault="00B55759" w:rsidP="0048435C">
      <w:pPr>
        <w:pStyle w:val="ListParagraph"/>
        <w:spacing w:after="120" w:line="288" w:lineRule="auto"/>
        <w:ind w:left="1077"/>
        <w:jc w:val="both"/>
        <w:rPr>
          <w:rFonts w:ascii="Arial" w:hAnsi="Arial" w:cs="Arial"/>
          <w:b/>
          <w:lang w:val="en-GB"/>
        </w:rPr>
      </w:pPr>
    </w:p>
    <w:p w14:paraId="0EE6C03A" w14:textId="15529F8B" w:rsidR="00B55759" w:rsidRPr="00B55759" w:rsidRDefault="00BE0B3E" w:rsidP="0048435C">
      <w:pPr>
        <w:pStyle w:val="ListParagraph"/>
        <w:numPr>
          <w:ilvl w:val="0"/>
          <w:numId w:val="44"/>
        </w:numPr>
        <w:spacing w:after="160" w:line="288" w:lineRule="auto"/>
        <w:ind w:left="1434" w:hanging="357"/>
        <w:contextualSpacing w:val="0"/>
        <w:jc w:val="both"/>
        <w:rPr>
          <w:rFonts w:ascii="Arial" w:hAnsi="Arial" w:cs="Arial"/>
          <w:lang w:val="en-GB"/>
        </w:rPr>
      </w:pPr>
      <w:r>
        <w:rPr>
          <w:rFonts w:ascii="Arial" w:hAnsi="Arial" w:cs="Arial"/>
          <w:lang w:val="en-GB"/>
        </w:rPr>
        <w:t xml:space="preserve">Terms </w:t>
      </w:r>
      <w:r w:rsidR="00B55759" w:rsidRPr="00B55759">
        <w:rPr>
          <w:rFonts w:ascii="Arial" w:hAnsi="Arial" w:cs="Arial"/>
          <w:lang w:val="en-GB"/>
        </w:rPr>
        <w:t>of Reference for Financial Resources Working Group (FRWG);</w:t>
      </w:r>
    </w:p>
    <w:p w14:paraId="67201CD1" w14:textId="79F7747B" w:rsidR="001E272F" w:rsidRPr="001E272F" w:rsidRDefault="00B55759" w:rsidP="001E272F">
      <w:pPr>
        <w:pStyle w:val="ListParagraph"/>
        <w:numPr>
          <w:ilvl w:val="0"/>
          <w:numId w:val="44"/>
        </w:numPr>
        <w:spacing w:line="288" w:lineRule="auto"/>
        <w:jc w:val="both"/>
        <w:rPr>
          <w:rFonts w:ascii="Arial" w:hAnsi="Arial" w:cs="Arial"/>
          <w:lang w:val="en-GB"/>
        </w:rPr>
      </w:pPr>
      <w:r w:rsidRPr="00B55759">
        <w:rPr>
          <w:rFonts w:ascii="Arial" w:hAnsi="Arial" w:cs="Arial"/>
          <w:lang w:val="en-GB"/>
        </w:rPr>
        <w:t>FRWG 2018 Workplan.</w:t>
      </w:r>
    </w:p>
    <w:p w14:paraId="1BFAC9F0" w14:textId="77777777" w:rsidR="002E7497" w:rsidRPr="00B55759" w:rsidRDefault="002E7497" w:rsidP="0048435C">
      <w:pPr>
        <w:pStyle w:val="Default"/>
        <w:spacing w:line="288" w:lineRule="auto"/>
        <w:ind w:left="720"/>
        <w:jc w:val="both"/>
        <w:rPr>
          <w:b/>
          <w:lang w:val="en-GB"/>
        </w:rPr>
      </w:pPr>
    </w:p>
    <w:p w14:paraId="4CDB01B8" w14:textId="01EA67B3" w:rsidR="00CC4B24" w:rsidRDefault="00CC4B24" w:rsidP="001E272F">
      <w:pPr>
        <w:pStyle w:val="Default"/>
        <w:spacing w:line="288" w:lineRule="auto"/>
        <w:jc w:val="both"/>
        <w:rPr>
          <w:b/>
          <w:lang w:val="en-GB"/>
        </w:rPr>
      </w:pPr>
    </w:p>
    <w:p w14:paraId="1898E3DE" w14:textId="70001842" w:rsidR="001E272F" w:rsidRDefault="001E272F" w:rsidP="001E272F">
      <w:pPr>
        <w:pStyle w:val="Default"/>
        <w:spacing w:line="288" w:lineRule="auto"/>
        <w:jc w:val="both"/>
        <w:rPr>
          <w:b/>
          <w:lang w:val="en-GB"/>
        </w:rPr>
      </w:pPr>
    </w:p>
    <w:p w14:paraId="6B4C1F8A" w14:textId="29596936" w:rsidR="001E272F" w:rsidRDefault="001E272F" w:rsidP="001E272F">
      <w:pPr>
        <w:pStyle w:val="Default"/>
        <w:spacing w:line="288" w:lineRule="auto"/>
        <w:jc w:val="both"/>
        <w:rPr>
          <w:b/>
          <w:lang w:val="en-GB"/>
        </w:rPr>
      </w:pPr>
    </w:p>
    <w:p w14:paraId="662601C6" w14:textId="0697B13B" w:rsidR="001E272F" w:rsidRDefault="001E272F" w:rsidP="001E272F">
      <w:pPr>
        <w:pStyle w:val="Default"/>
        <w:spacing w:line="288" w:lineRule="auto"/>
        <w:jc w:val="both"/>
        <w:rPr>
          <w:b/>
          <w:lang w:val="en-GB"/>
        </w:rPr>
      </w:pPr>
    </w:p>
    <w:p w14:paraId="0476DBCF" w14:textId="4EDEE842" w:rsidR="001E272F" w:rsidRDefault="001E272F" w:rsidP="001E272F">
      <w:pPr>
        <w:pStyle w:val="Default"/>
        <w:spacing w:line="288" w:lineRule="auto"/>
        <w:jc w:val="both"/>
        <w:rPr>
          <w:b/>
          <w:lang w:val="en-GB"/>
        </w:rPr>
      </w:pPr>
    </w:p>
    <w:p w14:paraId="58811806" w14:textId="3818DBB7" w:rsidR="001E272F" w:rsidRDefault="00D32CC6" w:rsidP="001E272F">
      <w:pPr>
        <w:pStyle w:val="Default"/>
        <w:spacing w:line="288" w:lineRule="auto"/>
        <w:jc w:val="both"/>
        <w:rPr>
          <w:b/>
          <w:lang w:val="en-GB"/>
        </w:rPr>
      </w:pPr>
      <w:r>
        <w:rPr>
          <w:b/>
          <w:lang w:val="en-GB"/>
        </w:rPr>
        <w:t>Annexes</w:t>
      </w:r>
    </w:p>
    <w:p w14:paraId="2545819C" w14:textId="77777777" w:rsidR="001E272F" w:rsidRDefault="001E272F" w:rsidP="001E272F">
      <w:pPr>
        <w:pStyle w:val="Default"/>
        <w:spacing w:line="288" w:lineRule="auto"/>
        <w:jc w:val="both"/>
        <w:rPr>
          <w:b/>
          <w:lang w:val="en-GB"/>
        </w:rPr>
      </w:pPr>
    </w:p>
    <w:p w14:paraId="58CB0A7A" w14:textId="6BC4D879" w:rsidR="00D32CC6" w:rsidRDefault="00D32CC6" w:rsidP="001E272F">
      <w:pPr>
        <w:pStyle w:val="Default"/>
        <w:numPr>
          <w:ilvl w:val="0"/>
          <w:numId w:val="48"/>
        </w:numPr>
        <w:spacing w:line="288" w:lineRule="auto"/>
        <w:rPr>
          <w:lang w:val="en-GB"/>
        </w:rPr>
      </w:pPr>
      <w:r>
        <w:rPr>
          <w:lang w:val="en-GB"/>
        </w:rPr>
        <w:t>Copy of FRWG SOM-13 presentation</w:t>
      </w:r>
    </w:p>
    <w:p w14:paraId="45C1A2F2" w14:textId="1E2DA977" w:rsidR="001E272F" w:rsidRPr="001E272F" w:rsidRDefault="001E272F" w:rsidP="001E272F">
      <w:pPr>
        <w:pStyle w:val="Default"/>
        <w:numPr>
          <w:ilvl w:val="0"/>
          <w:numId w:val="48"/>
        </w:numPr>
        <w:spacing w:line="288" w:lineRule="auto"/>
        <w:rPr>
          <w:lang w:val="en-GB"/>
        </w:rPr>
      </w:pPr>
      <w:r w:rsidRPr="001E272F">
        <w:rPr>
          <w:lang w:val="en-GB"/>
        </w:rPr>
        <w:t>Draft Terms of Reference for Financial Resources Working Group (FRWG);</w:t>
      </w:r>
    </w:p>
    <w:p w14:paraId="1A4C2536" w14:textId="0F893656" w:rsidR="001E272F" w:rsidRDefault="001E272F" w:rsidP="001E272F">
      <w:pPr>
        <w:pStyle w:val="Default"/>
        <w:numPr>
          <w:ilvl w:val="0"/>
          <w:numId w:val="48"/>
        </w:numPr>
        <w:spacing w:line="288" w:lineRule="auto"/>
        <w:rPr>
          <w:lang w:val="en-GB"/>
        </w:rPr>
      </w:pPr>
      <w:r w:rsidRPr="001E272F">
        <w:rPr>
          <w:lang w:val="en-GB"/>
        </w:rPr>
        <w:t>Project Initiation Specialist (PIS) Report;</w:t>
      </w:r>
    </w:p>
    <w:p w14:paraId="1DF63C4A" w14:textId="4C527834" w:rsidR="001E272F" w:rsidRPr="001E272F" w:rsidRDefault="00D32CC6" w:rsidP="001E272F">
      <w:pPr>
        <w:pStyle w:val="Default"/>
        <w:numPr>
          <w:ilvl w:val="0"/>
          <w:numId w:val="48"/>
        </w:numPr>
        <w:spacing w:line="288" w:lineRule="auto"/>
        <w:rPr>
          <w:lang w:val="en-GB"/>
        </w:rPr>
      </w:pPr>
      <w:r>
        <w:rPr>
          <w:lang w:val="en-GB"/>
        </w:rPr>
        <w:t>Draft Cost Benefit Analysis Report.</w:t>
      </w:r>
    </w:p>
    <w:sectPr w:rsidR="001E272F" w:rsidRPr="001E272F" w:rsidSect="00296699">
      <w:headerReference w:type="default" r:id="rId9"/>
      <w:footerReference w:type="default" r:id="rId10"/>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F186A" w14:textId="77777777" w:rsidR="002B1EA0" w:rsidRDefault="002B1EA0" w:rsidP="004B10A7">
      <w:r>
        <w:separator/>
      </w:r>
    </w:p>
  </w:endnote>
  <w:endnote w:type="continuationSeparator" w:id="0">
    <w:p w14:paraId="46ED891A" w14:textId="77777777" w:rsidR="002B1EA0" w:rsidRDefault="002B1EA0"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5795F7AF"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6342D4">
      <w:rPr>
        <w:rStyle w:val="PageNumber"/>
        <w:rFonts w:ascii="Arial" w:hAnsi="Arial" w:cs="Arial"/>
        <w:noProof/>
        <w:sz w:val="20"/>
      </w:rPr>
      <w:t>5</w:t>
    </w:r>
    <w:r w:rsidR="008F48C4" w:rsidRPr="00DF047E">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440B0" w14:textId="77777777" w:rsidR="002B1EA0" w:rsidRDefault="002B1EA0" w:rsidP="004B10A7">
      <w:r>
        <w:separator/>
      </w:r>
    </w:p>
  </w:footnote>
  <w:footnote w:type="continuationSeparator" w:id="0">
    <w:p w14:paraId="328A7DE6" w14:textId="77777777" w:rsidR="002B1EA0" w:rsidRDefault="002B1EA0" w:rsidP="004B10A7">
      <w:r>
        <w:continuationSeparator/>
      </w:r>
    </w:p>
  </w:footnote>
  <w:footnote w:id="1">
    <w:p w14:paraId="23E0850B" w14:textId="77777777" w:rsidR="006443F7" w:rsidRDefault="006443F7" w:rsidP="006443F7">
      <w:pPr>
        <w:pStyle w:val="FootnoteText"/>
      </w:pPr>
      <w:r>
        <w:rPr>
          <w:rStyle w:val="FootnoteReference"/>
        </w:rPr>
        <w:footnoteRef/>
      </w:r>
      <w:r>
        <w:t xml:space="preserve"> The term Business Development Unit (BDU) was recommended in the Final Report on CTI-CFF Financial Architecture which was discussed as length in several FRWG meetings prior to its adoption in SOM-11. However, the BDU was re-branded as a Project Preparation Facility (PPF) to reflect a more realistic expectation of its role, function and outputs due to the funding limitation to affect the recommendations in the Financial Architecture Report.</w:t>
      </w:r>
    </w:p>
  </w:footnote>
  <w:footnote w:id="2">
    <w:p w14:paraId="7F969CD2" w14:textId="10547873" w:rsidR="004E799A" w:rsidRPr="00B55759" w:rsidRDefault="004E799A" w:rsidP="004E799A">
      <w:pPr>
        <w:spacing w:line="288" w:lineRule="auto"/>
        <w:jc w:val="both"/>
        <w:rPr>
          <w:rFonts w:ascii="Arial" w:hAnsi="Arial" w:cs="Arial"/>
          <w:sz w:val="18"/>
          <w:szCs w:val="18"/>
          <w:lang w:val="en-GB"/>
        </w:rPr>
      </w:pPr>
      <w:r w:rsidRPr="00B55759">
        <w:rPr>
          <w:rStyle w:val="FootnoteReference"/>
          <w:rFonts w:ascii="Arial" w:hAnsi="Arial" w:cs="Arial"/>
          <w:sz w:val="18"/>
          <w:szCs w:val="18"/>
        </w:rPr>
        <w:footnoteRef/>
      </w:r>
      <w:r w:rsidRPr="00B55759">
        <w:rPr>
          <w:rFonts w:ascii="Arial" w:hAnsi="Arial" w:cs="Arial"/>
          <w:sz w:val="18"/>
          <w:szCs w:val="18"/>
        </w:rPr>
        <w:t xml:space="preserve"> </w:t>
      </w:r>
      <w:r w:rsidRPr="00B55759">
        <w:rPr>
          <w:rFonts w:ascii="Arial" w:hAnsi="Arial" w:cs="Arial"/>
          <w:sz w:val="18"/>
          <w:szCs w:val="18"/>
          <w:lang w:val="en-GB"/>
        </w:rPr>
        <w:t>The Agreement on the Establishment of the Regional Secretariat on the Coral Triangle Initiative on Coral Reefs, Fisheries and Food Security (CTI-CFF) and the endorsed CTI-CFF Financial Architecture Report;</w:t>
      </w:r>
    </w:p>
  </w:footnote>
  <w:footnote w:id="3">
    <w:p w14:paraId="5762B616" w14:textId="33FE8D29" w:rsidR="004E799A" w:rsidRPr="004E799A" w:rsidRDefault="004E799A">
      <w:pPr>
        <w:pStyle w:val="FootnoteText"/>
        <w:rPr>
          <w:lang w:val="en-MY"/>
        </w:rPr>
      </w:pPr>
      <w:r w:rsidRPr="00B55759">
        <w:rPr>
          <w:rStyle w:val="FootnoteReference"/>
          <w:rFonts w:ascii="Arial" w:hAnsi="Arial" w:cs="Arial"/>
          <w:sz w:val="18"/>
          <w:szCs w:val="18"/>
        </w:rPr>
        <w:footnoteRef/>
      </w:r>
      <w:r w:rsidRPr="00B55759">
        <w:rPr>
          <w:rFonts w:ascii="Arial" w:hAnsi="Arial" w:cs="Arial"/>
          <w:sz w:val="18"/>
          <w:szCs w:val="18"/>
        </w:rPr>
        <w:t xml:space="preserve"> </w:t>
      </w:r>
      <w:r w:rsidRPr="00B55759">
        <w:rPr>
          <w:rFonts w:ascii="Arial" w:hAnsi="Arial" w:cs="Arial"/>
          <w:sz w:val="18"/>
          <w:szCs w:val="18"/>
          <w:lang w:val="en-MY"/>
        </w:rPr>
        <w:t>The CTI-CFF Financial Architecture Report was endorsed during SOM-11; 2-3 December 2015, Manado, Indonesia (Decision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2B1EA0">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1C1333A4"/>
    <w:multiLevelType w:val="hybridMultilevel"/>
    <w:tmpl w:val="9F3674A8"/>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1A618C7"/>
    <w:multiLevelType w:val="hybridMultilevel"/>
    <w:tmpl w:val="5C92E8BC"/>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0A43FF"/>
    <w:multiLevelType w:val="hybridMultilevel"/>
    <w:tmpl w:val="257C711E"/>
    <w:lvl w:ilvl="0" w:tplc="F662D3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5"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483D3E"/>
    <w:multiLevelType w:val="hybridMultilevel"/>
    <w:tmpl w:val="893E71D8"/>
    <w:lvl w:ilvl="0" w:tplc="08090017">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8"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366DB3"/>
    <w:multiLevelType w:val="hybridMultilevel"/>
    <w:tmpl w:val="BFC20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3"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6"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0"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650985"/>
    <w:multiLevelType w:val="hybridMultilevel"/>
    <w:tmpl w:val="C4E29872"/>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42" w15:restartNumberingAfterBreak="0">
    <w:nsid w:val="74D304C6"/>
    <w:multiLevelType w:val="hybridMultilevel"/>
    <w:tmpl w:val="98E61936"/>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5EC3F19"/>
    <w:multiLevelType w:val="hybridMultilevel"/>
    <w:tmpl w:val="B69ABA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6"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7" w15:restartNumberingAfterBreak="0">
    <w:nsid w:val="7E167213"/>
    <w:multiLevelType w:val="hybridMultilevel"/>
    <w:tmpl w:val="E97A8838"/>
    <w:lvl w:ilvl="0" w:tplc="000018BE">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6"/>
  </w:num>
  <w:num w:numId="2">
    <w:abstractNumId w:val="1"/>
  </w:num>
  <w:num w:numId="3">
    <w:abstractNumId w:val="22"/>
  </w:num>
  <w:num w:numId="4">
    <w:abstractNumId w:val="4"/>
  </w:num>
  <w:num w:numId="5">
    <w:abstractNumId w:val="9"/>
  </w:num>
  <w:num w:numId="6">
    <w:abstractNumId w:val="27"/>
  </w:num>
  <w:num w:numId="7">
    <w:abstractNumId w:val="21"/>
  </w:num>
  <w:num w:numId="8">
    <w:abstractNumId w:val="0"/>
  </w:num>
  <w:num w:numId="9">
    <w:abstractNumId w:val="8"/>
  </w:num>
  <w:num w:numId="10">
    <w:abstractNumId w:val="41"/>
  </w:num>
  <w:num w:numId="11">
    <w:abstractNumId w:val="32"/>
  </w:num>
  <w:num w:numId="12">
    <w:abstractNumId w:val="24"/>
  </w:num>
  <w:num w:numId="13">
    <w:abstractNumId w:val="6"/>
  </w:num>
  <w:num w:numId="14">
    <w:abstractNumId w:val="3"/>
  </w:num>
  <w:num w:numId="15">
    <w:abstractNumId w:val="25"/>
  </w:num>
  <w:num w:numId="16">
    <w:abstractNumId w:val="37"/>
  </w:num>
  <w:num w:numId="17">
    <w:abstractNumId w:val="29"/>
  </w:num>
  <w:num w:numId="18">
    <w:abstractNumId w:val="15"/>
  </w:num>
  <w:num w:numId="19">
    <w:abstractNumId w:val="34"/>
  </w:num>
  <w:num w:numId="20">
    <w:abstractNumId w:val="44"/>
  </w:num>
  <w:num w:numId="21">
    <w:abstractNumId w:val="38"/>
  </w:num>
  <w:num w:numId="22">
    <w:abstractNumId w:val="23"/>
  </w:num>
  <w:num w:numId="23">
    <w:abstractNumId w:val="46"/>
  </w:num>
  <w:num w:numId="24">
    <w:abstractNumId w:val="45"/>
  </w:num>
  <w:num w:numId="25">
    <w:abstractNumId w:val="14"/>
  </w:num>
  <w:num w:numId="26">
    <w:abstractNumId w:val="35"/>
  </w:num>
  <w:num w:numId="27">
    <w:abstractNumId w:val="13"/>
  </w:num>
  <w:num w:numId="28">
    <w:abstractNumId w:val="16"/>
  </w:num>
  <w:num w:numId="29">
    <w:abstractNumId w:val="39"/>
  </w:num>
  <w:num w:numId="30">
    <w:abstractNumId w:val="5"/>
  </w:num>
  <w:num w:numId="31">
    <w:abstractNumId w:val="2"/>
  </w:num>
  <w:num w:numId="32">
    <w:abstractNumId w:val="33"/>
  </w:num>
  <w:num w:numId="33">
    <w:abstractNumId w:val="20"/>
  </w:num>
  <w:num w:numId="34">
    <w:abstractNumId w:val="40"/>
  </w:num>
  <w:num w:numId="35">
    <w:abstractNumId w:val="18"/>
  </w:num>
  <w:num w:numId="36">
    <w:abstractNumId w:val="7"/>
  </w:num>
  <w:num w:numId="37">
    <w:abstractNumId w:val="30"/>
  </w:num>
  <w:num w:numId="38">
    <w:abstractNumId w:val="26"/>
  </w:num>
  <w:num w:numId="39">
    <w:abstractNumId w:val="28"/>
  </w:num>
  <w:num w:numId="40">
    <w:abstractNumId w:val="19"/>
  </w:num>
  <w:num w:numId="41">
    <w:abstractNumId w:val="12"/>
  </w:num>
  <w:num w:numId="42">
    <w:abstractNumId w:val="11"/>
  </w:num>
  <w:num w:numId="43">
    <w:abstractNumId w:val="42"/>
  </w:num>
  <w:num w:numId="44">
    <w:abstractNumId w:val="10"/>
  </w:num>
  <w:num w:numId="45">
    <w:abstractNumId w:val="43"/>
  </w:num>
  <w:num w:numId="46">
    <w:abstractNumId w:val="47"/>
  </w:num>
  <w:num w:numId="47">
    <w:abstractNumId w:val="17"/>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7741C"/>
    <w:rsid w:val="000803C8"/>
    <w:rsid w:val="000967D9"/>
    <w:rsid w:val="000C07BD"/>
    <w:rsid w:val="000E3601"/>
    <w:rsid w:val="000F3C47"/>
    <w:rsid w:val="000F7B9A"/>
    <w:rsid w:val="00116B5E"/>
    <w:rsid w:val="00127A7E"/>
    <w:rsid w:val="001336BC"/>
    <w:rsid w:val="001423F9"/>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272F"/>
    <w:rsid w:val="001E607C"/>
    <w:rsid w:val="001F608F"/>
    <w:rsid w:val="00203A14"/>
    <w:rsid w:val="00206DB2"/>
    <w:rsid w:val="00221B18"/>
    <w:rsid w:val="00222E91"/>
    <w:rsid w:val="00232011"/>
    <w:rsid w:val="00235324"/>
    <w:rsid w:val="00235DB5"/>
    <w:rsid w:val="00237078"/>
    <w:rsid w:val="00237B7E"/>
    <w:rsid w:val="00240A94"/>
    <w:rsid w:val="0024651F"/>
    <w:rsid w:val="00247C34"/>
    <w:rsid w:val="002554C0"/>
    <w:rsid w:val="0027247E"/>
    <w:rsid w:val="00274D81"/>
    <w:rsid w:val="00280DEA"/>
    <w:rsid w:val="00280E38"/>
    <w:rsid w:val="00283657"/>
    <w:rsid w:val="00285DAC"/>
    <w:rsid w:val="002873DE"/>
    <w:rsid w:val="00291296"/>
    <w:rsid w:val="002928D0"/>
    <w:rsid w:val="00296699"/>
    <w:rsid w:val="002A74C6"/>
    <w:rsid w:val="002B1EA0"/>
    <w:rsid w:val="002D13D8"/>
    <w:rsid w:val="002E56DF"/>
    <w:rsid w:val="002E63BC"/>
    <w:rsid w:val="002E7497"/>
    <w:rsid w:val="002E7998"/>
    <w:rsid w:val="002F6025"/>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6BE2"/>
    <w:rsid w:val="003C1931"/>
    <w:rsid w:val="003C5AB2"/>
    <w:rsid w:val="003C7B0F"/>
    <w:rsid w:val="003E782A"/>
    <w:rsid w:val="003F224D"/>
    <w:rsid w:val="00411185"/>
    <w:rsid w:val="00425E34"/>
    <w:rsid w:val="00434835"/>
    <w:rsid w:val="00444B3B"/>
    <w:rsid w:val="00445E18"/>
    <w:rsid w:val="00450825"/>
    <w:rsid w:val="004508B4"/>
    <w:rsid w:val="004566B1"/>
    <w:rsid w:val="00462399"/>
    <w:rsid w:val="0046544D"/>
    <w:rsid w:val="0048435C"/>
    <w:rsid w:val="00487C5C"/>
    <w:rsid w:val="0049072A"/>
    <w:rsid w:val="00494923"/>
    <w:rsid w:val="00497131"/>
    <w:rsid w:val="004A4BA1"/>
    <w:rsid w:val="004B04E4"/>
    <w:rsid w:val="004B10A7"/>
    <w:rsid w:val="004B2374"/>
    <w:rsid w:val="004C2413"/>
    <w:rsid w:val="004C63D8"/>
    <w:rsid w:val="004D3C60"/>
    <w:rsid w:val="004E2AC5"/>
    <w:rsid w:val="004E799A"/>
    <w:rsid w:val="00504CA5"/>
    <w:rsid w:val="00506FEF"/>
    <w:rsid w:val="005260EC"/>
    <w:rsid w:val="00526486"/>
    <w:rsid w:val="005304CE"/>
    <w:rsid w:val="00530901"/>
    <w:rsid w:val="0053471E"/>
    <w:rsid w:val="00534B60"/>
    <w:rsid w:val="00544377"/>
    <w:rsid w:val="005511E9"/>
    <w:rsid w:val="00551F28"/>
    <w:rsid w:val="00553051"/>
    <w:rsid w:val="00567477"/>
    <w:rsid w:val="00570CC8"/>
    <w:rsid w:val="00572F97"/>
    <w:rsid w:val="00573108"/>
    <w:rsid w:val="00573D0B"/>
    <w:rsid w:val="005740D6"/>
    <w:rsid w:val="005959C2"/>
    <w:rsid w:val="005A401D"/>
    <w:rsid w:val="005A5FA1"/>
    <w:rsid w:val="005C0B65"/>
    <w:rsid w:val="005C2C50"/>
    <w:rsid w:val="00600AC5"/>
    <w:rsid w:val="006037C2"/>
    <w:rsid w:val="0060799F"/>
    <w:rsid w:val="00611981"/>
    <w:rsid w:val="006342D4"/>
    <w:rsid w:val="006352E1"/>
    <w:rsid w:val="006443F7"/>
    <w:rsid w:val="006520AD"/>
    <w:rsid w:val="00654E8C"/>
    <w:rsid w:val="00672120"/>
    <w:rsid w:val="00677F6C"/>
    <w:rsid w:val="006932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51C6C"/>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F48C4"/>
    <w:rsid w:val="008F702E"/>
    <w:rsid w:val="00910132"/>
    <w:rsid w:val="009131D0"/>
    <w:rsid w:val="00914C87"/>
    <w:rsid w:val="00940D04"/>
    <w:rsid w:val="00941AFA"/>
    <w:rsid w:val="009427AE"/>
    <w:rsid w:val="009601C2"/>
    <w:rsid w:val="00964809"/>
    <w:rsid w:val="0097663E"/>
    <w:rsid w:val="0098305A"/>
    <w:rsid w:val="00987333"/>
    <w:rsid w:val="009A096F"/>
    <w:rsid w:val="009C0F34"/>
    <w:rsid w:val="009C6BCD"/>
    <w:rsid w:val="009D406A"/>
    <w:rsid w:val="009E3B91"/>
    <w:rsid w:val="009E78CE"/>
    <w:rsid w:val="009E7A2A"/>
    <w:rsid w:val="009F093E"/>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1CDF"/>
    <w:rsid w:val="00AC2576"/>
    <w:rsid w:val="00AC4AD7"/>
    <w:rsid w:val="00AC7A45"/>
    <w:rsid w:val="00AD5E98"/>
    <w:rsid w:val="00AE3DC7"/>
    <w:rsid w:val="00B052BE"/>
    <w:rsid w:val="00B17467"/>
    <w:rsid w:val="00B237B1"/>
    <w:rsid w:val="00B32BAA"/>
    <w:rsid w:val="00B33550"/>
    <w:rsid w:val="00B35EFA"/>
    <w:rsid w:val="00B46592"/>
    <w:rsid w:val="00B55759"/>
    <w:rsid w:val="00B55F72"/>
    <w:rsid w:val="00B725DC"/>
    <w:rsid w:val="00B72702"/>
    <w:rsid w:val="00B72AD9"/>
    <w:rsid w:val="00B817EF"/>
    <w:rsid w:val="00B8578A"/>
    <w:rsid w:val="00B9091D"/>
    <w:rsid w:val="00B942B3"/>
    <w:rsid w:val="00BB084B"/>
    <w:rsid w:val="00BB6E05"/>
    <w:rsid w:val="00BD0CC7"/>
    <w:rsid w:val="00BD414E"/>
    <w:rsid w:val="00BE0B3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A2377"/>
    <w:rsid w:val="00CB1E3D"/>
    <w:rsid w:val="00CB350B"/>
    <w:rsid w:val="00CB6432"/>
    <w:rsid w:val="00CC4B24"/>
    <w:rsid w:val="00CC4C62"/>
    <w:rsid w:val="00CE0CAC"/>
    <w:rsid w:val="00CE24CD"/>
    <w:rsid w:val="00CE24EC"/>
    <w:rsid w:val="00CE473E"/>
    <w:rsid w:val="00CF1E07"/>
    <w:rsid w:val="00CF4413"/>
    <w:rsid w:val="00CF5769"/>
    <w:rsid w:val="00D039AC"/>
    <w:rsid w:val="00D14054"/>
    <w:rsid w:val="00D2284C"/>
    <w:rsid w:val="00D23BA5"/>
    <w:rsid w:val="00D32CC6"/>
    <w:rsid w:val="00D445D5"/>
    <w:rsid w:val="00D476F0"/>
    <w:rsid w:val="00D56AA6"/>
    <w:rsid w:val="00D72461"/>
    <w:rsid w:val="00DD1A50"/>
    <w:rsid w:val="00DE1346"/>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70267"/>
    <w:rsid w:val="00E709EF"/>
    <w:rsid w:val="00E72A54"/>
    <w:rsid w:val="00E75BBF"/>
    <w:rsid w:val="00E8538D"/>
    <w:rsid w:val="00E93A87"/>
    <w:rsid w:val="00E96D12"/>
    <w:rsid w:val="00E96F46"/>
    <w:rsid w:val="00EA2A79"/>
    <w:rsid w:val="00EA4ABB"/>
    <w:rsid w:val="00EB4353"/>
    <w:rsid w:val="00EC72EF"/>
    <w:rsid w:val="00ED6049"/>
    <w:rsid w:val="00EE5DAB"/>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paragraph" w:styleId="Heading3">
    <w:name w:val="heading 3"/>
    <w:basedOn w:val="Normal"/>
    <w:next w:val="Normal"/>
    <w:link w:val="Heading3Char"/>
    <w:uiPriority w:val="9"/>
    <w:semiHidden/>
    <w:unhideWhenUsed/>
    <w:qFormat/>
    <w:rsid w:val="00AC1CD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paragraph" w:styleId="FootnoteText">
    <w:name w:val="footnote text"/>
    <w:basedOn w:val="Normal"/>
    <w:link w:val="FootnoteTextChar"/>
    <w:uiPriority w:val="99"/>
    <w:semiHidden/>
    <w:unhideWhenUsed/>
    <w:rsid w:val="004E799A"/>
    <w:rPr>
      <w:sz w:val="20"/>
      <w:szCs w:val="20"/>
    </w:rPr>
  </w:style>
  <w:style w:type="character" w:customStyle="1" w:styleId="FootnoteTextChar">
    <w:name w:val="Footnote Text Char"/>
    <w:basedOn w:val="DefaultParagraphFont"/>
    <w:link w:val="FootnoteText"/>
    <w:uiPriority w:val="99"/>
    <w:semiHidden/>
    <w:rsid w:val="004E799A"/>
    <w:rPr>
      <w:sz w:val="20"/>
      <w:szCs w:val="20"/>
    </w:rPr>
  </w:style>
  <w:style w:type="character" w:styleId="FootnoteReference">
    <w:name w:val="footnote reference"/>
    <w:basedOn w:val="DefaultParagraphFont"/>
    <w:uiPriority w:val="99"/>
    <w:semiHidden/>
    <w:unhideWhenUsed/>
    <w:rsid w:val="004E799A"/>
    <w:rPr>
      <w:vertAlign w:val="superscript"/>
    </w:rPr>
  </w:style>
  <w:style w:type="paragraph" w:styleId="NoSpacing">
    <w:name w:val="No Spacing"/>
    <w:uiPriority w:val="1"/>
    <w:qFormat/>
    <w:rsid w:val="006443F7"/>
    <w:rPr>
      <w:rFonts w:eastAsiaTheme="minorHAnsi"/>
      <w:sz w:val="22"/>
      <w:szCs w:val="22"/>
      <w:lang w:val="en-GB" w:eastAsia="en-US"/>
    </w:rPr>
  </w:style>
  <w:style w:type="character" w:customStyle="1" w:styleId="Heading3Char">
    <w:name w:val="Heading 3 Char"/>
    <w:basedOn w:val="DefaultParagraphFont"/>
    <w:link w:val="Heading3"/>
    <w:uiPriority w:val="9"/>
    <w:semiHidden/>
    <w:rsid w:val="00AC1CDF"/>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6A748-295B-4386-88D7-31A5AA5F2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12</cp:revision>
  <dcterms:created xsi:type="dcterms:W3CDTF">2017-11-05T07:25:00Z</dcterms:created>
  <dcterms:modified xsi:type="dcterms:W3CDTF">2017-11-12T10:25:00Z</dcterms:modified>
</cp:coreProperties>
</file>